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planning-policy"/>
    <w:p>
      <w:pPr>
        <w:pStyle w:val="Heading1"/>
      </w:pPr>
      <w:r>
        <w:t xml:space="preserve">Planning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Moderate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https://kston83.github.io/nist-guide/templates/policies/pl/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Planning, and who is accountable for meeting those requirements. (PL-1a.1(a))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(PL-1a.1(a))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(PL-1a.1(a))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(PL-1b)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(PL-1a.1(a))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(PL-1a.1(a))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(PL-1a.1(a))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(PL-1a.1(a))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(PL-1a.1(b))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(PL-1a.1(a))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(PL-1a.1(a))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(PL-1a.1(a))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(PL-1a.2)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planning policy is to be disseminated. Typical: everyone within its scope, through the policy library]</w:t>
      </w:r>
      <w:r>
        <w:t xml:space="preserve">. (PL-1a)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planning procedures are to be disseminated. Typical: the people who carry them out, and the system owners]</w:t>
      </w:r>
      <w:r>
        <w:t xml:space="preserve">. (PL-1a)</w:t>
      </w:r>
    </w:p>
    <w:bookmarkEnd w:id="18"/>
    <w:bookmarkStart w:id="28" w:name="policy-statements"/>
    <w:p>
      <w:pPr>
        <w:pStyle w:val="Heading2"/>
      </w:pPr>
      <w:r>
        <w:t xml:space="preserve">Policy statements</w:t>
      </w:r>
    </w:p>
    <w:bookmarkStart w:id="19" w:name="system-security-and-privacy-plans-pl-2"/>
    <w:p>
      <w:pPr>
        <w:pStyle w:val="Heading3"/>
      </w:pPr>
      <w:r>
        <w:t xml:space="preserve">System security and privacy plans (PL-2)</w:t>
      </w:r>
    </w:p>
    <w:p>
      <w:pPr>
        <w:pStyle w:val="Compact"/>
        <w:numPr>
          <w:ilvl w:val="0"/>
          <w:numId w:val="1004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plan and a privacy plan for the system, as one document or two, that contain every element PL-2a.1 to a.14 lists. (PL-2a)</w:t>
      </w:r>
    </w:p>
    <w:p>
      <w:pPr>
        <w:pStyle w:val="Compact"/>
        <w:numPr>
          <w:ilvl w:val="0"/>
          <w:numId w:val="1004"/>
        </w:numPr>
      </w:pPr>
      <w:r>
        <w:t xml:space="preserve">The plans shall identify the security- and privacy-related activities affecting the system that require planning and coordination with</w:t>
      </w:r>
      <w:r>
        <w:t xml:space="preserve"> </w:t>
      </w:r>
      <w:r>
        <w:rPr>
          <w:rStyle w:val="Fill-in"/>
        </w:rPr>
        <w:t xml:space="preserve">[Fill in: individuals or groups with whom security and privacy-related activities affecting the system that require planning and coordination. Typical: the system’s stakeholders, the common control providers, and the security and privacy teams]</w:t>
      </w:r>
      <w:r>
        <w:t xml:space="preserve">. (PL-2a.14)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have the plans reviewed and approved by the authorizing official, or a designated representative, before the plans are implemented. (PL-2a.15)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distribute copies of the plans, and communicate later changes to them, to</w:t>
      </w:r>
      <w:r>
        <w:t xml:space="preserve"> </w:t>
      </w:r>
      <w:r>
        <w:rPr>
          <w:rStyle w:val="Fill-in"/>
        </w:rPr>
        <w:t xml:space="preserve">[Fill in: personnel or roles to receive distributed copies of the system security and privacy plans. Typical: the authorizing official, the system owner, the system security officer and the assessor]</w:t>
      </w:r>
      <w:r>
        <w:t xml:space="preserve">. (PL-2b)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plans</w:t>
      </w:r>
      <w:r>
        <w:t xml:space="preserve"> </w:t>
      </w:r>
      <w:r>
        <w:rPr>
          <w:rStyle w:val="Fill-in"/>
        </w:rPr>
        <w:t xml:space="preserve">[Fill in: frequency to review system security and privacy plans. Typical: annually]</w:t>
      </w:r>
      <w:r>
        <w:t xml:space="preserve">. (PL-2c)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plans to address changes to the system and its environment of operation, and problems found during plan implementation or control assessments. (PL-2d)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plans from unauthorized disclosure and modification. (PL-2e)</w:t>
      </w:r>
    </w:p>
    <w:bookmarkEnd w:id="19"/>
    <w:bookmarkStart w:id="20" w:name="rules-of-behavior-pl-4"/>
    <w:p>
      <w:pPr>
        <w:pStyle w:val="Heading3"/>
      </w:pPr>
      <w:r>
        <w:t xml:space="preserve">Rules of behavior (PL-4)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rules that describe the responsibilities and expected behavior of individuals for information and system usage, security and privacy.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the rules to each individual who requires access to the system.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receive a documented acknowledgment from each individual, stating that they have read, understand and agree to abide by the rules, before authorizing access to information and the system. (PL-4b)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and update the rules of behavior</w:t>
      </w:r>
      <w:r>
        <w:t xml:space="preserve"> </w:t>
      </w:r>
      <w:r>
        <w:rPr>
          <w:rStyle w:val="Fill-in"/>
        </w:rPr>
        <w:t xml:space="preserve">[Fill in: frequency for reviewing and updating the rules of behavior. Typical: annually]</w:t>
      </w:r>
      <w:r>
        <w:t xml:space="preserve">. (PL-4c)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require individuals who acknowledged a previous version of the rules to read and re-acknowledge them</w:t>
      </w:r>
      <w:r>
        <w:t xml:space="preserve"> </w:t>
      </w:r>
      <w:r>
        <w:rPr>
          <w:rStyle w:val="Fill-in"/>
        </w:rPr>
        <w:t xml:space="preserve">[Select one or more: [Assignment: organization-defined frequency]; when the rules are revised or updated. Typical: annually, and when the rules are revised or updated]</w:t>
      </w:r>
      <w:r>
        <w:t xml:space="preserve">. (PL-4d)</w:t>
      </w:r>
    </w:p>
    <w:bookmarkEnd w:id="20"/>
    <w:bookmarkStart w:id="21" w:name="X3f2661dbd3565abe5da19344e4a6a2347ebad27"/>
    <w:p>
      <w:pPr>
        <w:pStyle w:val="Heading3"/>
      </w:pPr>
      <w:r>
        <w:t xml:space="preserve">Social media and external site and application usage restrictions (PL-4(1))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social media, social networking sites, and external sites and applications. (PL-4(1)(a))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posting of organizational information on public websites. (PL-4(1)(b))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organization-provided identifiers, such as email addresses, and authentication secrets, such as passwords, to create accounts on external sites and applications. (PL-4(1)(c))</w:t>
      </w:r>
    </w:p>
    <w:bookmarkEnd w:id="21"/>
    <w:bookmarkStart w:id="22" w:name="security-and-privacy-architectures-pl-8"/>
    <w:p>
      <w:pPr>
        <w:pStyle w:val="Heading3"/>
      </w:pPr>
      <w:r>
        <w:t xml:space="preserve">Security and privacy architectures (PL-8)</w:t>
      </w:r>
    </w:p>
    <w:p>
      <w:pPr>
        <w:pStyle w:val="Compact"/>
        <w:numPr>
          <w:ilvl w:val="0"/>
          <w:numId w:val="1007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architecture and a privacy architecture for the system. (PL-8a)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the requirements and approach for protecting the confidentiality, integrity and availability of organizational information. (PL-8a.1)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the requirements and approach for processing personally identifiable information so as to minimize privacy risk to individuals. (PL-8a.2)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how they are integrated into and support the enterprise architecture. (PL-8a.3)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any assumptions about, and dependencies on, external systems and services. (PL-8a.4)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architectures</w:t>
      </w:r>
      <w:r>
        <w:t xml:space="preserve"> </w:t>
      </w:r>
      <w:r>
        <w:rPr>
          <w:rStyle w:val="Fill-in"/>
        </w:rPr>
        <w:t xml:space="preserve">[Fill in: frequency for review and update to reflect changes in the enterprise architecture. Typical: annually, and whenever the enterprise architecture changes]</w:t>
      </w:r>
      <w:r>
        <w:t xml:space="preserve"> </w:t>
      </w:r>
      <w:r>
        <w:t xml:space="preserve">to reflect changes in the enterprise architecture. (PL-8b)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reflect planned architecture changes in the security and privacy plans, the concept of operations, the criticality analysis, organizational procedures, and procurements and acquisitions. (PL-8c)</w:t>
      </w:r>
    </w:p>
    <w:bookmarkEnd w:id="22"/>
    <w:bookmarkStart w:id="26" w:name="baseline-selection-pl-10"/>
    <w:p>
      <w:pPr>
        <w:pStyle w:val="Heading3"/>
      </w:pPr>
      <w:r>
        <w:t xml:space="preserve">Baseline selection (PL-10)</w:t>
      </w:r>
    </w:p>
    <w:p>
      <w:pPr>
        <w:pStyle w:val="Compact"/>
        <w:numPr>
          <w:ilvl w:val="0"/>
          <w:numId w:val="1008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select a control baseline for the system, based on its security categorization, and record the selection in the system security plan. (PL-10)</w:t>
      </w:r>
    </w:p>
    <w:p>
      <w:pPr>
        <w:pStyle w:val="Compact"/>
        <w:numPr>
          <w:ilvl w:val="0"/>
          <w:numId w:val="1008"/>
        </w:numPr>
      </w:pPr>
      <w:r>
        <w:t xml:space="preserve">A system that processes personally identifiable information shall also apply the privacy control baseline. (PL-10)</w:t>
      </w:r>
    </w:p>
    <w:bookmarkStart w:id="25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systems select the SP 800-53B security baseline that matches the system’s impact level: the highest impact level for confidentiality, integrity and availability under</w:t>
      </w:r>
      <w:r>
        <w:t xml:space="preserve"> </w:t>
      </w:r>
      <w:hyperlink r:id="rId23">
        <w:r>
          <w:rPr>
            <w:rStyle w:val="Hyperlink"/>
          </w:rPr>
          <w:t xml:space="preserve">FIPS 199</w:t>
        </w:r>
      </w:hyperlink>
      <w:r>
        <w:t xml:space="preserve">, as</w:t>
      </w:r>
      <w:r>
        <w:t xml:space="preserve"> </w:t>
      </w:r>
      <w:hyperlink r:id="rId24">
        <w:r>
          <w:rPr>
            <w:rStyle w:val="Hyperlink"/>
          </w:rPr>
          <w:t xml:space="preserve">FIPS 200</w:t>
        </w:r>
      </w:hyperlink>
      <w:r>
        <w:t xml:space="preserve"> </w:t>
      </w:r>
      <w:r>
        <w:t xml:space="preserve">specifies.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select the baseline that matches the system’s FIPS 199 impact level. (PL-10)</w:t>
      </w:r>
    </w:p>
    <w:bookmarkEnd w:id="25"/>
    <w:bookmarkEnd w:id="26"/>
    <w:bookmarkStart w:id="27" w:name="baseline-tailoring-pl-11"/>
    <w:p>
      <w:pPr>
        <w:pStyle w:val="Heading3"/>
      </w:pPr>
      <w:r>
        <w:t xml:space="preserve">Baseline tailoring (PL-11)</w:t>
      </w:r>
    </w:p>
    <w:p>
      <w:pPr>
        <w:pStyle w:val="Compact"/>
        <w:numPr>
          <w:ilvl w:val="0"/>
          <w:numId w:val="1010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tailor the selected control baseline by applying specified tailoring actions. (PL-11)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each tailoring decision, with its rationale, in the system security plan, and have the authorizing official approve it with the plan. (PL-11)</w:t>
      </w:r>
    </w:p>
    <w:bookmarkEnd w:id="27"/>
    <w:bookmarkEnd w:id="28"/>
    <w:bookmarkStart w:id="32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with which the current planning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planning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(PL-1c.1)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with which the current planning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(PL-1c.2)</w:t>
      </w:r>
    </w:p>
    <w:bookmarkStart w:id="31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9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30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2"/>
        </w:numPr>
      </w:pPr>
      <w:r>
        <w:t xml:space="preserve">Where the agency’s organization-wide policy sets a value for a parameter in this policy, each system shall use that value or a stricter one. (PL-1a.1(b))</w:t>
      </w:r>
    </w:p>
    <w:bookmarkEnd w:id="31"/>
    <w:bookmarkEnd w:id="32"/>
    <w:bookmarkEnd w:id="3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Planning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3" Target="https://csrc.nist.gov/pubs/fips/199/final" TargetMode="External" /><Relationship Type="http://schemas.openxmlformats.org/officeDocument/2006/relationships/hyperlink" Id="rId24" Target="https://csrc.nist.gov/pubs/fips/200/final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29" Target="https://uscode.house.gov/view.xhtml?req=granuleid:USC-prelim-title44-section3554&amp;num=0&amp;edition=prelim" TargetMode="External" /><Relationship Type="http://schemas.openxmlformats.org/officeDocument/2006/relationships/hyperlink" Id="rId30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3" Target="https://csrc.nist.gov/pubs/fips/199/final" TargetMode="External" /><Relationship Type="http://schemas.openxmlformats.org/officeDocument/2006/relationships/hyperlink" Id="rId24" Target="https://csrc.nist.gov/pubs/fips/200/final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29" Target="https://uscode.house.gov/view.xhtml?req=granuleid:USC-prelim-title44-section3554&amp;num=0&amp;edition=prelim" TargetMode="External" /><Relationship Type="http://schemas.openxmlformats.org/officeDocument/2006/relationships/hyperlink" Id="rId30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