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planning-policy"/>
    <w:p>
      <w:pPr>
        <w:pStyle w:val="Heading1"/>
      </w:pPr>
      <w:r>
        <w:t xml:space="preserve">Planning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Privacy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Annotated (with guidance)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https://kston83.github.io/nist-guide/templates/policies/pl/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p>
      <w:pPr>
        <w:pStyle w:val="Guidance"/>
      </w:pPr>
      <w:r>
        <w:t xml:space="preserve">The sections before and after Policy statements meet PL-1, which asks for a policy that addresses purpose, scope, roles, responsibilities, management commitment, coordination and compliance, plus procedures, dissemination, a designated official and a review cycle. Assessors check each element, so keep every section even when it is short. Each statement cites the PL-1 item it meets. If you adopt several family policies, the same sections repeat in each; that is expected, and it lets each policy stand alone.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Planning, and who is accountable for meeting those requirements. (PL-1a.1(a))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(PL-1a.1(a))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(PL-1a.1(a))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(PL-1b)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(PL-1a.1(a))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(PL-1a.1(a))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(PL-1a.1(a))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(PL-1a.1(a))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(PL-1a.1(b))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(PL-1a.1(a))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(PL-1a.1(a))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(PL-1a.1(a))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(PL-1a.2)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planning policy is to be disseminated. Typical: everyone within its scope, through the policy library]</w:t>
      </w:r>
      <w:r>
        <w:t xml:space="preserve">. (PL-1a)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planning procedures are to be disseminated. Typical: the people who carry them out, and the system owners]</w:t>
      </w:r>
      <w:r>
        <w:t xml:space="preserve">. (PL-1a)</w:t>
      </w:r>
    </w:p>
    <w:bookmarkEnd w:id="18"/>
    <w:bookmarkStart w:id="26" w:name="policy-statements"/>
    <w:p>
      <w:pPr>
        <w:pStyle w:val="Heading2"/>
      </w:pPr>
      <w:r>
        <w:t xml:space="preserve">Policy statements</w:t>
      </w:r>
    </w:p>
    <w:p>
      <w:pPr>
        <w:pStyle w:val="Guidance"/>
      </w:pPr>
      <w:r>
        <w:t xml:space="preserve">Each statement below comes from the clause for one control or enhancement in the chosen baseline. The reference at the end of each statement names the control item it meets.</w:t>
      </w:r>
    </w:p>
    <w:bookmarkStart w:id="20" w:name="system-security-and-privacy-plans-pl-2"/>
    <w:p>
      <w:pPr>
        <w:pStyle w:val="Heading3"/>
      </w:pPr>
      <w:r>
        <w:t xml:space="preserve">System security and privacy plans (PL-2)</w:t>
      </w:r>
    </w:p>
    <w:p>
      <w:pPr>
        <w:pStyle w:val="Guidance"/>
      </w:pPr>
      <w:r>
        <w:t xml:space="preserve">PL-2 lists fifteen things a system’s security and privacy plans must contain. The</w:t>
      </w:r>
      <w:r>
        <w:t xml:space="preserve"> </w:t>
      </w:r>
      <w:hyperlink r:id="rId19">
        <w:r>
          <w:rPr>
            <w:rStyle w:val="Hyperlink"/>
          </w:rPr>
          <w:t xml:space="preserve">System Security Plan template</w:t>
        </w:r>
      </w:hyperlink>
      <w:r>
        <w:t xml:space="preserve"> </w:t>
      </w:r>
      <w:r>
        <w:t xml:space="preserve">has a section for each, so the statements below require the plan and point to its contents rather than repeating all fifteen. A system that processes personally identifiable information can keep its privacy plan as part of the security plan or as a separate document; either way, both must meet PL-2.</w:t>
      </w:r>
    </w:p>
    <w:p>
      <w:pPr>
        <w:pStyle w:val="Compact"/>
        <w:numPr>
          <w:ilvl w:val="0"/>
          <w:numId w:val="1004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develop a security plan and a privacy plan for the system, as one document or two, that contain every element PL-2a.1 to a.14 lists. (PL-2a)</w:t>
      </w:r>
    </w:p>
    <w:p>
      <w:pPr>
        <w:pStyle w:val="Compact"/>
        <w:numPr>
          <w:ilvl w:val="0"/>
          <w:numId w:val="1004"/>
        </w:numPr>
      </w:pPr>
      <w:r>
        <w:t xml:space="preserve">The plans shall identify the security- and privacy-related activities affecting the system that require planning and coordination with</w:t>
      </w:r>
      <w:r>
        <w:t xml:space="preserve"> </w:t>
      </w:r>
      <w:r>
        <w:rPr>
          <w:rStyle w:val="Fill-in"/>
        </w:rPr>
        <w:t xml:space="preserve">[Fill in: individuals or groups with whom security and privacy-related activities affecting the system that require planning and coordination. Typical: the system’s stakeholders, the common control providers, and the security and privacy teams]</w:t>
      </w:r>
      <w:r>
        <w:t xml:space="preserve">. (PL-2a.14)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have the plans reviewed and approved by the authorizing official, or a designated representative, before the plans are implemented. (PL-2a.15)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distribute copies of the plans, and communicate later changes to them, to</w:t>
      </w:r>
      <w:r>
        <w:t xml:space="preserve"> </w:t>
      </w:r>
      <w:r>
        <w:rPr>
          <w:rStyle w:val="Fill-in"/>
        </w:rPr>
        <w:t xml:space="preserve">[Fill in: personnel or roles to receive distributed copies of the system security and privacy plans. Typical: the authorizing official, the system owner, the system security officer and the assessor]</w:t>
      </w:r>
      <w:r>
        <w:t xml:space="preserve">. (PL-2b)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the plans</w:t>
      </w:r>
      <w:r>
        <w:t xml:space="preserve"> </w:t>
      </w:r>
      <w:r>
        <w:rPr>
          <w:rStyle w:val="Fill-in"/>
        </w:rPr>
        <w:t xml:space="preserve">[Fill in: frequency to review system security and privacy plans. Typical: annually]</w:t>
      </w:r>
      <w:r>
        <w:t xml:space="preserve">. (PL-2c)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update the plans to address changes to the system and its environment of operation, and problems found during plan implementation or control assessments. (PL-2d)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protect the plans from unauthorized disclosure and modification. (PL-2e)</w:t>
      </w:r>
    </w:p>
    <w:bookmarkEnd w:id="20"/>
    <w:bookmarkStart w:id="22" w:name="rules-of-behavior-pl-4"/>
    <w:p>
      <w:pPr>
        <w:pStyle w:val="Heading3"/>
      </w:pPr>
      <w:r>
        <w:t xml:space="preserve">Rules of behavior (PL-4)</w:t>
      </w:r>
    </w:p>
    <w:p>
      <w:pPr>
        <w:pStyle w:val="Guidance"/>
      </w:pPr>
      <w:r>
        <w:t xml:space="preserve">The</w:t>
      </w:r>
      <w:r>
        <w:t xml:space="preserve"> </w:t>
      </w:r>
      <w:hyperlink r:id="rId21">
        <w:r>
          <w:rPr>
            <w:rStyle w:val="Hyperlink"/>
          </w:rPr>
          <w:t xml:space="preserve">Rules of Behavior template</w:t>
        </w:r>
      </w:hyperlink>
      <w:r>
        <w:t xml:space="preserve"> </w:t>
      </w:r>
      <w:r>
        <w:t xml:space="preserve">gives the rules, a signature block and a register of acknowledgments. Assessors sample new accounts and check that each acknowledgment is dated before access was granted.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establish rules that describe the responsibilities and expected behavior of individuals for information and system usage, security and privacy. (PL-4a)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provide the rules to each individual who requires access to the system. (PL-4a)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receive a documented acknowledgment from each individual, stating that they have read, understand and agree to abide by the rules, before authorizing access to information and the system. (PL-4b)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and update the rules of behavior</w:t>
      </w:r>
      <w:r>
        <w:t xml:space="preserve"> </w:t>
      </w:r>
      <w:r>
        <w:rPr>
          <w:rStyle w:val="Fill-in"/>
        </w:rPr>
        <w:t xml:space="preserve">[Fill in: frequency for reviewing and updating the rules of behavior. Typical: annually]</w:t>
      </w:r>
      <w:r>
        <w:t xml:space="preserve">. (PL-4c)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require individuals who acknowledged a previous version of the rules to read and re-acknowledge them</w:t>
      </w:r>
      <w:r>
        <w:t xml:space="preserve"> </w:t>
      </w:r>
      <w:r>
        <w:rPr>
          <w:rStyle w:val="Fill-in"/>
        </w:rPr>
        <w:t xml:space="preserve">[Select one or more: [Assignment: organization-defined frequency]; when the rules are revised or updated. Typical: annually, and when the rules are revised or updated]</w:t>
      </w:r>
      <w:r>
        <w:t xml:space="preserve">. (PL-4d)</w:t>
      </w:r>
    </w:p>
    <w:bookmarkEnd w:id="22"/>
    <w:bookmarkStart w:id="23" w:name="X3f2661dbd3565abe5da19344e4a6a2347ebad27"/>
    <w:p>
      <w:pPr>
        <w:pStyle w:val="Heading3"/>
      </w:pPr>
      <w:r>
        <w:t xml:space="preserve">Social media and external site and application usage restrictions (PL-4(1))</w:t>
      </w:r>
    </w:p>
    <w:p>
      <w:pPr>
        <w:pStyle w:val="Compact"/>
        <w:numPr>
          <w:ilvl w:val="0"/>
          <w:numId w:val="1006"/>
        </w:numPr>
      </w:pPr>
      <w:r>
        <w:t xml:space="preserve">The rules of behavior shall restrict the use of social media, social networking sites, and external sites and applications. (PL-4(1)(a))</w:t>
      </w:r>
    </w:p>
    <w:p>
      <w:pPr>
        <w:pStyle w:val="Compact"/>
        <w:numPr>
          <w:ilvl w:val="0"/>
          <w:numId w:val="1006"/>
        </w:numPr>
      </w:pPr>
      <w:r>
        <w:t xml:space="preserve">The rules of behavior shall restrict the posting of organizational information on public websites. (PL-4(1)(b))</w:t>
      </w:r>
    </w:p>
    <w:p>
      <w:pPr>
        <w:pStyle w:val="Compact"/>
        <w:numPr>
          <w:ilvl w:val="0"/>
          <w:numId w:val="1006"/>
        </w:numPr>
      </w:pPr>
      <w:r>
        <w:t xml:space="preserve">The rules of behavior shall restrict the use of organization-provided identifiers, such as email addresses, and authentication secrets, such as passwords, to create accounts on external sites and applications. (PL-4(1)(c))</w:t>
      </w:r>
    </w:p>
    <w:bookmarkEnd w:id="23"/>
    <w:bookmarkStart w:id="24" w:name="security-and-privacy-architectures-pl-8"/>
    <w:p>
      <w:pPr>
        <w:pStyle w:val="Heading3"/>
      </w:pPr>
      <w:r>
        <w:t xml:space="preserve">Security and privacy architectures (PL-8)</w:t>
      </w:r>
    </w:p>
    <w:p>
      <w:pPr>
        <w:pStyle w:val="Guidance"/>
      </w:pPr>
      <w:r>
        <w:t xml:space="preserve">The architectures describe how the system is built to protect information and to limit privacy risk: the protection approach, the trust boundaries, and what the system assumes about the services it relies on. Most systems keep them as a section of the system security plan with a diagram, rather than as a separate document.</w:t>
      </w:r>
    </w:p>
    <w:p>
      <w:pPr>
        <w:pStyle w:val="Compact"/>
        <w:numPr>
          <w:ilvl w:val="0"/>
          <w:numId w:val="1007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develop a security architecture and a privacy architecture for the system. (PL-8a)</w:t>
      </w:r>
    </w:p>
    <w:p>
      <w:pPr>
        <w:pStyle w:val="Compact"/>
        <w:numPr>
          <w:ilvl w:val="0"/>
          <w:numId w:val="1007"/>
        </w:numPr>
      </w:pPr>
      <w:r>
        <w:t xml:space="preserve">The architectures shall describe the requirements and approach for protecting the confidentiality, integrity and availability of organizational information. (PL-8a.1)</w:t>
      </w:r>
    </w:p>
    <w:p>
      <w:pPr>
        <w:pStyle w:val="Compact"/>
        <w:numPr>
          <w:ilvl w:val="0"/>
          <w:numId w:val="1007"/>
        </w:numPr>
      </w:pPr>
      <w:r>
        <w:t xml:space="preserve">The architectures shall describe the requirements and approach for processing personally identifiable information so as to minimize privacy risk to individuals. (PL-8a.2)</w:t>
      </w:r>
    </w:p>
    <w:p>
      <w:pPr>
        <w:pStyle w:val="Compact"/>
        <w:numPr>
          <w:ilvl w:val="0"/>
          <w:numId w:val="1007"/>
        </w:numPr>
      </w:pPr>
      <w:r>
        <w:t xml:space="preserve">The architectures shall describe how they are integrated into and support the enterprise architecture. (PL-8a.3)</w:t>
      </w:r>
    </w:p>
    <w:p>
      <w:pPr>
        <w:pStyle w:val="Compact"/>
        <w:numPr>
          <w:ilvl w:val="0"/>
          <w:numId w:val="1007"/>
        </w:numPr>
      </w:pPr>
      <w:r>
        <w:t xml:space="preserve">The architectures shall describe any assumptions about, and dependencies on, external systems and services. (PL-8a.4)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the architectures</w:t>
      </w:r>
      <w:r>
        <w:t xml:space="preserve"> </w:t>
      </w:r>
      <w:r>
        <w:rPr>
          <w:rStyle w:val="Fill-in"/>
        </w:rPr>
        <w:t xml:space="preserve">[Fill in: frequency for review and update to reflect changes in the enterprise architecture. Typical: annually, and whenever the enterprise architecture changes]</w:t>
      </w:r>
      <w:r>
        <w:t xml:space="preserve"> </w:t>
      </w:r>
      <w:r>
        <w:t xml:space="preserve">to reflect changes in the enterprise architecture. (PL-8b)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reflect planned architecture changes in the security and privacy plans, the concept of operations, the criticality analysis, organizational procedures, and procurements and acquisitions. (PL-8c)</w:t>
      </w:r>
    </w:p>
    <w:bookmarkEnd w:id="24"/>
    <w:bookmarkStart w:id="25" w:name="central-management-pl-9"/>
    <w:p>
      <w:pPr>
        <w:pStyle w:val="Heading3"/>
      </w:pPr>
      <w:r>
        <w:t xml:space="preserve">Central management (PL-9)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centrally manage</w:t>
      </w:r>
      <w:r>
        <w:t xml:space="preserve"> </w:t>
      </w:r>
      <w:r>
        <w:rPr>
          <w:rStyle w:val="Fill-in"/>
        </w:rPr>
        <w:t xml:space="preserve">[Fill in: security and privacy controls and related processes to be centrally managed. Typical: the privacy controls and processes the privacy program provides for all systems, such as privacy notices, privacy impact assessments, complaint handling and breach response]</w:t>
      </w:r>
      <w:r>
        <w:t xml:space="preserve">. (PL-9)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record the centrally managed controls in the privacy program plan, so that system privacy plans can inherit them. (PL-9)</w:t>
      </w:r>
    </w:p>
    <w:bookmarkEnd w:id="25"/>
    <w:bookmarkEnd w:id="26"/>
    <w:bookmarkStart w:id="30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with which the current planning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planning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(PL-1c.1)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with which the current planning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procedures to be reviewed and updated. Typical: the same events as the policy, and changes to the systems, tools or services the procedures describe]</w:t>
      </w:r>
      <w:r>
        <w:t xml:space="preserve">. (PL-1c.2)</w:t>
      </w:r>
    </w:p>
    <w:bookmarkStart w:id="29" w:name="federal-systems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27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28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10"/>
        </w:numPr>
      </w:pPr>
      <w:r>
        <w:t xml:space="preserve">Where the agency’s organization-wide policy sets a value for a parameter in this policy, each system shall use that value or a stricter one. (PL-1a.1(b))</w:t>
      </w:r>
    </w:p>
    <w:bookmarkEnd w:id="29"/>
    <w:bookmarkEnd w:id="30"/>
    <w:bookmarkEnd w:id="31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Planning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1" Target="https://kston83.github.io/nist-guide/templates/forms/rules-of-behavior/" TargetMode="External" /><Relationship Type="http://schemas.openxmlformats.org/officeDocument/2006/relationships/hyperlink" Id="rId19" Target="https://kston83.github.io/nist-guide/templates/plans/system-security-plan/" TargetMode="External" /><Relationship Type="http://schemas.openxmlformats.org/officeDocument/2006/relationships/hyperlink" Id="rId9" Target="https://kston83.github.io/nist-guide/templates/policies/pl/" TargetMode="External" /><Relationship Type="http://schemas.openxmlformats.org/officeDocument/2006/relationships/hyperlink" Id="rId27" Target="https://uscode.house.gov/view.xhtml?req=granuleid:USC-prelim-title44-section3554&amp;num=0&amp;edition=prelim" TargetMode="External" /><Relationship Type="http://schemas.openxmlformats.org/officeDocument/2006/relationships/hyperlink" Id="rId28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1" Target="https://kston83.github.io/nist-guide/templates/forms/rules-of-behavior/" TargetMode="External" /><Relationship Type="http://schemas.openxmlformats.org/officeDocument/2006/relationships/hyperlink" Id="rId19" Target="https://kston83.github.io/nist-guide/templates/plans/system-security-plan/" TargetMode="External" /><Relationship Type="http://schemas.openxmlformats.org/officeDocument/2006/relationships/hyperlink" Id="rId9" Target="https://kston83.github.io/nist-guide/templates/policies/pl/" TargetMode="External" /><Relationship Type="http://schemas.openxmlformats.org/officeDocument/2006/relationships/hyperlink" Id="rId27" Target="https://uscode.house.gov/view.xhtml?req=granuleid:USC-prelim-title44-section3554&amp;num=0&amp;edition=prelim" TargetMode="External" /><Relationship Type="http://schemas.openxmlformats.org/officeDocument/2006/relationships/hyperlink" Id="rId28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