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24" w:name="policy-statements"/>
    <w:p>
      <w:pPr>
        <w:pStyle w:val="Heading2"/>
      </w:pPr>
      <w:r>
        <w:t xml:space="preserve">Policy statements</w:t>
      </w:r>
    </w:p>
    <w:bookmarkStart w:id="19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19"/>
    <w:bookmarkStart w:id="20" w:name="rules-of-behavior-pl-4"/>
    <w:p>
      <w:pPr>
        <w:pStyle w:val="Heading3"/>
      </w:pPr>
      <w:r>
        <w:t xml:space="preserve">Rules of behavior (PL-4)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0"/>
    <w:bookmarkStart w:id="21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1"/>
    <w:bookmarkStart w:id="22" w:name="security-and-privacy-architectures-pl-8"/>
    <w:p>
      <w:pPr>
        <w:pStyle w:val="Heading3"/>
      </w:pPr>
      <w:r>
        <w:t xml:space="preserve">Security and privacy architectures (PL-8)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architecture and a privacy architecture for the system. (PL-8a)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protecting the confidentiality, integrity and availability of organizational information. (PL-8a.1)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processing personally identifiable information so as to minimize privacy risk to individuals. (PL-8a.2)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how they are integrated into and support the enterprise architecture. (PL-8a.3)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any assumptions about, and dependencies on, external systems and services. (PL-8a.4)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architectures</w:t>
      </w:r>
      <w:r>
        <w:t xml:space="preserve"> </w:t>
      </w:r>
      <w:r>
        <w:rPr>
          <w:rStyle w:val="Fill-in"/>
        </w:rPr>
        <w:t xml:space="preserve">[Fill in: frequency for review and update to reflect changes in the enterprise architecture. Typical: annually, and whenever the enterprise architecture changes]</w:t>
      </w:r>
      <w:r>
        <w:t xml:space="preserve"> </w:t>
      </w:r>
      <w:r>
        <w:t xml:space="preserve">to reflect changes in the enterprise architecture. (PL-8b)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reflect planned architecture changes in the security and privacy plans, the concept of operations, the criticality analysis, organizational procedures, and procurements and acquisitions. (PL-8c)</w:t>
      </w:r>
    </w:p>
    <w:bookmarkEnd w:id="22"/>
    <w:bookmarkStart w:id="23" w:name="central-management-pl-9"/>
    <w:p>
      <w:pPr>
        <w:pStyle w:val="Heading3"/>
      </w:pPr>
      <w:r>
        <w:t xml:space="preserve">Central management (PL-9)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centrally manage</w:t>
      </w:r>
      <w:r>
        <w:t xml:space="preserve"> </w:t>
      </w:r>
      <w:r>
        <w:rPr>
          <w:rStyle w:val="Fill-in"/>
        </w:rPr>
        <w:t xml:space="preserve">[Fill in: security and privacy controls and related processes to be centrally managed. Typical: the privacy controls and processes the privacy program provides for all systems, such as privacy notices, privacy impact assessments, complaint handling and breach response]</w:t>
      </w:r>
      <w:r>
        <w:t xml:space="preserve">. (PL-9)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record the centrally managed controls in the privacy program plan, so that system privacy plans can inherit them. (PL-9)</w:t>
      </w:r>
    </w:p>
    <w:bookmarkEnd w:id="23"/>
    <w:bookmarkEnd w:id="24"/>
    <w:bookmarkStart w:id="28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27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5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6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0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27"/>
    <w:bookmarkEnd w:id="28"/>
    <w:bookmarkEnd w:id="29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5" Target="https://uscode.house.gov/view.xhtml?req=granuleid:USC-prelim-title44-section3554&amp;num=0&amp;edition=prelim" TargetMode="External" /><Relationship Type="http://schemas.openxmlformats.org/officeDocument/2006/relationships/hyperlink" Id="rId26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5" Target="https://uscode.house.gov/view.xhtml?req=granuleid:USC-prelim-title44-section3554&amp;num=0&amp;edition=prelim" TargetMode="External" /><Relationship Type="http://schemas.openxmlformats.org/officeDocument/2006/relationships/hyperlink" Id="rId26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