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5" w:name="program-management-policy"/>
    <w:p>
      <w:pPr>
        <w:pStyle w:val="Heading1"/>
      </w:pPr>
      <w:r>
        <w:t xml:space="preserve">Program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Organization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https://kston83.github.io/nist-guide/templates/policies/pm/</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establishes</w:t>
      </w:r>
      <w:r>
        <w:t xml:space="preserve"> </w:t>
      </w:r>
      <w:r>
        <w:rPr>
          <w:rStyle w:val="Fill-in"/>
        </w:rPr>
        <w:t xml:space="preserve">[Organization name]</w:t>
      </w:r>
      <w:r>
        <w:t xml:space="preserve">’s organization-wide information security program, and states who leads it and how it is planned, resourced and overseen.</w:t>
      </w:r>
    </w:p>
    <w:bookmarkEnd w:id="11"/>
    <w:bookmarkStart w:id="12" w:name="scope"/>
    <w:p>
      <w:pPr>
        <w:pStyle w:val="Heading2"/>
      </w:pPr>
      <w:r>
        <w:t xml:space="preserve">Scope</w:t>
      </w:r>
    </w:p>
    <w:p>
      <w:pPr>
        <w:pStyle w:val="FirstParagraph"/>
      </w:pPr>
      <w:r>
        <w:t xml:space="preserve">This policy applies to all of</w:t>
      </w:r>
      <w:r>
        <w:t xml:space="preserve"> </w:t>
      </w:r>
      <w:r>
        <w:rPr>
          <w:rStyle w:val="Fill-in"/>
        </w:rPr>
        <w:t xml:space="preserve">[Organization name]</w:t>
      </w:r>
      <w:r>
        <w:t xml:space="preserve">: every system it owns or operates or that is operated on its behalf, the mission and business processes those systems support, and every person with access to them. The program management controls in this policy are carried out once for the organization, and systems inherit them as common controls.</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for the information security program, and shall approve exceptions to this policy. (PM-1a.2)</w:t>
      </w:r>
    </w:p>
    <w:p>
      <w:pPr>
        <w:pStyle w:val="Compact"/>
        <w:numPr>
          <w:ilvl w:val="0"/>
          <w:numId w:val="1001"/>
        </w:numPr>
      </w:pPr>
      <w:r>
        <w:t xml:space="preserve">The</w:t>
      </w:r>
      <w:r>
        <w:t xml:space="preserve"> </w:t>
      </w:r>
      <w:r>
        <w:rPr>
          <w:rStyle w:val="Fill-in"/>
        </w:rPr>
        <w:t xml:space="preserve">[Senior privacy official]</w:t>
      </w:r>
      <w:r>
        <w:t xml:space="preserve"> </w:t>
      </w:r>
      <w:r>
        <w:t xml:space="preserve">shall lead the privacy program and coordinate it with the information security program. (PM-1a.3)</w:t>
      </w:r>
    </w:p>
    <w:p>
      <w:pPr>
        <w:pStyle w:val="Compact"/>
        <w:numPr>
          <w:ilvl w:val="0"/>
          <w:numId w:val="1001"/>
        </w:numPr>
      </w:pPr>
      <w:r>
        <w:t xml:space="preserve">Each</w:t>
      </w:r>
      <w:r>
        <w:t xml:space="preserve"> </w:t>
      </w:r>
      <w:r>
        <w:rPr>
          <w:rStyle w:val="Fill-in"/>
        </w:rPr>
        <w:t xml:space="preserve">[System owner]</w:t>
      </w:r>
      <w:r>
        <w:t xml:space="preserve"> </w:t>
      </w:r>
      <w:r>
        <w:t xml:space="preserve">shall use the common controls the program provides and record them as inherited in the system security plan. (PM-1a.1)</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(PM-1a.2)</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the information security and privacy programs need. (PM-1a.2)</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the program with the privacy, legal, human resources, procurement, finance, physical security and mission functions, and record that coordination in the program plan. (PM-1a.3)</w:t>
      </w:r>
    </w:p>
    <w:bookmarkEnd w:id="15"/>
    <w:bookmarkStart w:id="16" w:name="compliance"/>
    <w:p>
      <w:pPr>
        <w:pStyle w:val="Heading2"/>
      </w:pPr>
      <w:r>
        <w:t xml:space="preserve">Compliance</w:t>
      </w:r>
    </w:p>
    <w:p>
      <w:pPr>
        <w:pStyle w:val="Compact"/>
        <w:numPr>
          <w:ilvl w:val="0"/>
          <w:numId w:val="1002"/>
        </w:numPr>
      </w:pPr>
      <w:r>
        <w:t xml:space="preserve">This policy and the program plan shall be consistent with the laws, regulations and standards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(PM-1a.2)</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(PM-1a.2)</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(PM-1a.2)</w:t>
      </w:r>
    </w:p>
    <w:p>
      <w:pPr>
        <w:pStyle w:val="Compact"/>
        <w:numPr>
          <w:ilvl w:val="0"/>
          <w:numId w:val="1002"/>
        </w:numPr>
      </w:pPr>
      <w:r>
        <w:t xml:space="preserve">Violations of this policy shall be handled through the organization’s sanctions process. (PM-1a.2)</w:t>
      </w:r>
    </w:p>
    <w:bookmarkEnd w:id="16"/>
    <w:bookmarkStart w:id="17" w:name="information-security-program-plan"/>
    <w:p>
      <w:pPr>
        <w:pStyle w:val="Heading2"/>
      </w:pPr>
      <w:r>
        <w:t xml:space="preserve">Information security program plan</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003"/>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003"/>
        </w:numPr>
      </w:pPr>
      <w:r>
        <w:t xml:space="preserve">The plan shall identify and assign roles and responsibilities, and describe management commitment, coordination among organizational entities, and compliance. (PM-1a.2)</w:t>
      </w:r>
    </w:p>
    <w:p>
      <w:pPr>
        <w:pStyle w:val="Compact"/>
        <w:numPr>
          <w:ilvl w:val="0"/>
          <w:numId w:val="1003"/>
        </w:numPr>
      </w:pPr>
      <w:r>
        <w:t xml:space="preserve">The plan shall reflect the coordination among the organizational entities responsible for information security. (PM-1a.3)</w:t>
      </w:r>
    </w:p>
    <w:p>
      <w:pPr>
        <w:pStyle w:val="Compact"/>
        <w:numPr>
          <w:ilvl w:val="0"/>
          <w:numId w:val="1003"/>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End w:id="17"/>
    <w:bookmarkStart w:id="72" w:name="policy-statements"/>
    <w:p>
      <w:pPr>
        <w:pStyle w:val="Heading2"/>
      </w:pPr>
      <w:r>
        <w:t xml:space="preserve">Policy statements</w:t>
      </w:r>
    </w:p>
    <w:bookmarkStart w:id="20" w:name="Xc2c9d760733e0b663fcb078fdf1efa39c7f55d5"/>
    <w:p>
      <w:pPr>
        <w:pStyle w:val="Heading3"/>
      </w:pPr>
      <w:r>
        <w:t xml:space="preserve">Information security program leadership role (PM-2)</w:t>
      </w:r>
    </w:p>
    <w:p>
      <w:pPr>
        <w:pStyle w:val="Compact"/>
        <w:numPr>
          <w:ilvl w:val="0"/>
          <w:numId w:val="1004"/>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004"/>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19" w:name="federal-systems"/>
    <w:p>
      <w:pPr>
        <w:pStyle w:val="Heading4"/>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18">
        <w:r>
          <w:rPr>
            <w:rStyle w:val="Hyperlink"/>
          </w:rPr>
          <w:t xml:space="preserve">44 U.S.C. § 3554(a)(3)(A)</w:t>
        </w:r>
      </w:hyperlink>
      <w:r>
        <w:t xml:space="preserve">).</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19"/>
    <w:bookmarkEnd w:id="20"/>
    <w:bookmarkStart w:id="21" w:name="Xfcec5071c9897bbc6d64892dc0e175744cab35d"/>
    <w:p>
      <w:pPr>
        <w:pStyle w:val="Heading3"/>
      </w:pPr>
      <w:r>
        <w:t xml:space="preserve">Information security and privacy resources (PM-3)</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006"/>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006"/>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21"/>
    <w:bookmarkStart w:id="22" w:name="X1bad626ab0d953715de5fbd154806c87772e1ac"/>
    <w:p>
      <w:pPr>
        <w:pStyle w:val="Heading3"/>
      </w:pPr>
      <w:r>
        <w:t xml:space="preserve">Plan of action and milestones process (PM-4)</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007"/>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22"/>
    <w:bookmarkStart w:id="25" w:name="system-inventory-pm-5"/>
    <w:p>
      <w:pPr>
        <w:pStyle w:val="Heading3"/>
      </w:pPr>
      <w:r>
        <w:t xml:space="preserve">System inventory (PM-5)</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008"/>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24" w:name="federal-systems-1"/>
    <w:p>
      <w:pPr>
        <w:pStyle w:val="Heading4"/>
      </w:pPr>
      <w:r>
        <w:t xml:space="preserve">Federal systems</w:t>
      </w:r>
    </w:p>
    <w:p>
      <w:pPr>
        <w:pStyle w:val="FirstParagraph"/>
      </w:pPr>
      <w:r>
        <w:t xml:space="preserve">The Paperwork Reduction Act requires each agency head to maintain an inventory of major information systems, updated at least annually (</w:t>
      </w:r>
      <w:hyperlink r:id="rId23">
        <w:r>
          <w:rPr>
            <w:rStyle w:val="Hyperlink"/>
          </w:rPr>
          <w:t xml:space="preserve">44 U.S.C. § 3505(c)</w:t>
        </w:r>
      </w:hyperlink>
      <w:r>
        <w:t xml:space="preserve">).</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24"/>
    <w:bookmarkEnd w:id="25"/>
    <w:bookmarkStart w:id="26" w:name="Xfdd46d8e50d99a2ff3d2a48ac50ff39393f0346"/>
    <w:p>
      <w:pPr>
        <w:pStyle w:val="Heading3"/>
      </w:pPr>
      <w:r>
        <w:t xml:space="preserve">Inventory of personally identifiable information (PM-5(1))</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26"/>
    <w:bookmarkStart w:id="27" w:name="measures-of-performance-pm-6"/>
    <w:p>
      <w:pPr>
        <w:pStyle w:val="Heading3"/>
      </w:pPr>
      <w:r>
        <w:t xml:space="preserve">Measures of performance (PM-6)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011"/>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27"/>
    <w:bookmarkStart w:id="28" w:name="enterprise-architecture-pm-7"/>
    <w:p>
      <w:pPr>
        <w:pStyle w:val="Heading3"/>
      </w:pPr>
      <w:r>
        <w:t xml:space="preserve">Enterprise architecture (PM-7)</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012"/>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28"/>
    <w:bookmarkStart w:id="29" w:name="offloading-pm-71"/>
    <w:p>
      <w:pPr>
        <w:pStyle w:val="Heading3"/>
      </w:pPr>
      <w:r>
        <w:t xml:space="preserve">Offloading (PM-7(1))</w:t>
      </w:r>
    </w:p>
    <w:p>
      <w:pPr>
        <w:pStyle w:val="Compact"/>
        <w:numPr>
          <w:ilvl w:val="0"/>
          <w:numId w:val="1013"/>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29"/>
    <w:bookmarkStart w:id="30" w:name="critical-infrastructure-plan-pm-8"/>
    <w:p>
      <w:pPr>
        <w:pStyle w:val="Heading3"/>
      </w:pPr>
      <w:r>
        <w:t xml:space="preserve">Critical infrastructure plan (PM-8)</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30"/>
    <w:bookmarkStart w:id="31" w:name="risk-management-strategy-pm-9"/>
    <w:p>
      <w:pPr>
        <w:pStyle w:val="Heading3"/>
      </w:pPr>
      <w:r>
        <w:t xml:space="preserve">Risk management strategy (PM-9)</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015"/>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015"/>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31"/>
    <w:bookmarkStart w:id="32" w:name="authorization-process-pm-10"/>
    <w:p>
      <w:pPr>
        <w:pStyle w:val="Heading3"/>
      </w:pPr>
      <w:r>
        <w:t xml:space="preserve">Authorization process (PM-10)</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016"/>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016"/>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32"/>
    <w:bookmarkStart w:id="33" w:name="Xd0af50a3aadb5a78babad0afeac67d3d9549b2b"/>
    <w:p>
      <w:pPr>
        <w:pStyle w:val="Heading3"/>
      </w:pPr>
      <w:r>
        <w:t xml:space="preserve">Mission and business process definition (PM-11)</w:t>
      </w:r>
    </w:p>
    <w:p>
      <w:pPr>
        <w:pStyle w:val="Compact"/>
        <w:numPr>
          <w:ilvl w:val="0"/>
          <w:numId w:val="1017"/>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017"/>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33"/>
    <w:bookmarkStart w:id="36" w:name="insider-threat-program-pm-12"/>
    <w:p>
      <w:pPr>
        <w:pStyle w:val="Heading3"/>
      </w:pPr>
      <w:r>
        <w:t xml:space="preserve">Insider threat program (PM-12)</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018"/>
        </w:numPr>
      </w:pPr>
      <w:r>
        <w:t xml:space="preserve">The program shall include a cross-discipline insider threat incident handling team, with members from at least security, human resources, legal and privacy. (PM-12)</w:t>
      </w:r>
    </w:p>
    <w:bookmarkStart w:id="35" w:name="federal-systems-2"/>
    <w:p>
      <w:pPr>
        <w:pStyle w:val="Heading4"/>
      </w:pPr>
      <w:r>
        <w:t xml:space="preserve">Federal systems</w:t>
      </w:r>
    </w:p>
    <w:p>
      <w:pPr>
        <w:pStyle w:val="FirstParagraph"/>
      </w:pPr>
      <w:hyperlink r:id="rId34">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019"/>
        </w:numPr>
      </w:pPr>
      <w:r>
        <w:t xml:space="preserve">If the agency operates or accesses classified computer networks, the insider threat program shall meet Executive Order 13587, section 2.1(b), and the guidance and standards of the Insider Threat Task Force. (PM-12)</w:t>
      </w:r>
    </w:p>
    <w:bookmarkEnd w:id="35"/>
    <w:bookmarkEnd w:id="36"/>
    <w:bookmarkStart w:id="37" w:name="security-and-privacy-workforce-pm-13"/>
    <w:p>
      <w:pPr>
        <w:pStyle w:val="Heading3"/>
      </w:pPr>
      <w:r>
        <w:t xml:space="preserve">Security and privacy workforce (PM-13)</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020"/>
        </w:numPr>
      </w:pPr>
      <w:r>
        <w:t xml:space="preserve">The program shall define the knowledge and skills each security and privacy role needs, and the training and development that build them. (PM-13)</w:t>
      </w:r>
    </w:p>
    <w:bookmarkEnd w:id="37"/>
    <w:bookmarkStart w:id="38" w:name="testing-training-and-monitoring-pm-14"/>
    <w:p>
      <w:pPr>
        <w:pStyle w:val="Heading3"/>
      </w:pPr>
      <w:r>
        <w:t xml:space="preserve">Testing, training and monitoring (PM-14)</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021"/>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38"/>
    <w:bookmarkStart w:id="39" w:name="X295d60eef42c03d3703d70d5598c29f0ff37448"/>
    <w:p>
      <w:pPr>
        <w:pStyle w:val="Heading3"/>
      </w:pPr>
      <w:r>
        <w:t xml:space="preserve">Security and privacy groups and associations (PM-15)</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022"/>
        </w:numPr>
      </w:pPr>
      <w:r>
        <w:t xml:space="preserve">The organization shall use those contacts to support ongoing security and privacy education and training for its personnel. (PM-15a)</w:t>
      </w:r>
    </w:p>
    <w:p>
      <w:pPr>
        <w:pStyle w:val="Compact"/>
        <w:numPr>
          <w:ilvl w:val="0"/>
          <w:numId w:val="1022"/>
        </w:numPr>
      </w:pPr>
      <w:r>
        <w:t xml:space="preserve">The organization shall use those contacts to stay current with recommended security and privacy practices, techniques and technologies. (PM-15b)</w:t>
      </w:r>
    </w:p>
    <w:p>
      <w:pPr>
        <w:pStyle w:val="Compact"/>
        <w:numPr>
          <w:ilvl w:val="0"/>
          <w:numId w:val="1022"/>
        </w:numPr>
      </w:pPr>
      <w:r>
        <w:t xml:space="preserve">The organization shall use those contacts to share current security and privacy information, including threats, vulnerabilities and incidents. (PM-15c)</w:t>
      </w:r>
    </w:p>
    <w:bookmarkEnd w:id="39"/>
    <w:bookmarkStart w:id="40" w:name="threat-awareness-program-pm-16"/>
    <w:p>
      <w:pPr>
        <w:pStyle w:val="Heading3"/>
      </w:pPr>
      <w:r>
        <w:t xml:space="preserve">Threat awareness program (PM-16)</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023"/>
        </w:numPr>
      </w:pPr>
      <w:r>
        <w:t xml:space="preserve">The program shall include a capability to share threat intelligence with other organizations. (PM-16)</w:t>
      </w:r>
    </w:p>
    <w:bookmarkEnd w:id="40"/>
    <w:bookmarkStart w:id="41" w:name="Xe86a6af6832bc7c5449cc45bcce4db3ae940100"/>
    <w:p>
      <w:pPr>
        <w:pStyle w:val="Heading3"/>
      </w:pPr>
      <w:r>
        <w:t xml:space="preserve">Automated means for sharing threat intelligence (PM-16(1))</w:t>
      </w:r>
    </w:p>
    <w:p>
      <w:pPr>
        <w:pStyle w:val="Compact"/>
        <w:numPr>
          <w:ilvl w:val="0"/>
          <w:numId w:val="1024"/>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41"/>
    <w:bookmarkStart w:id="46" w:name="X9caffbee26b5c63bed776c5d2d7f8e03874faa7"/>
    <w:p>
      <w:pPr>
        <w:pStyle w:val="Heading3"/>
      </w:pPr>
      <w:r>
        <w:t xml:space="preserve">Protecting controlled unclassified information on external systems (PM-17)</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45" w:name="federal-systems-3"/>
    <w:p>
      <w:pPr>
        <w:pStyle w:val="Heading4"/>
      </w:pPr>
      <w:r>
        <w:t xml:space="preserve">Federal systems</w:t>
      </w:r>
    </w:p>
    <w:p>
      <w:pPr>
        <w:pStyle w:val="FirstParagraph"/>
      </w:pPr>
      <w:r>
        <w:t xml:space="preserve">Under</w:t>
      </w:r>
      <w:r>
        <w:t xml:space="preserve"> </w:t>
      </w:r>
      <w:hyperlink r:id="rId42">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43">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44">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026"/>
        </w:numPr>
      </w:pPr>
      <w:r>
        <w:t xml:space="preserve">Each agreement that shares CUI with a non-federal organization shall require the recipient to protect it as 32 CFR 2002.14(h) requires, and shall name the revision of NIST SP 800-171 that applies. (PM-17a)</w:t>
      </w:r>
    </w:p>
    <w:bookmarkEnd w:id="45"/>
    <w:bookmarkEnd w:id="46"/>
    <w:bookmarkStart w:id="49" w:name="privacy-program-plan-pm-18"/>
    <w:p>
      <w:pPr>
        <w:pStyle w:val="Heading3"/>
      </w:pPr>
      <w:r>
        <w:t xml:space="preserve">Privacy program plan (PM-18)</w:t>
      </w:r>
    </w:p>
    <w:p>
      <w:pPr>
        <w:pStyle w:val="Compact"/>
        <w:numPr>
          <w:ilvl w:val="0"/>
          <w:numId w:val="1027"/>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027"/>
        </w:numPr>
      </w:pPr>
      <w:r>
        <w:t xml:space="preserve">The plan shall describe the structure of the privacy program and the resources dedicated to it. (PM-18a.1)</w:t>
      </w:r>
    </w:p>
    <w:p>
      <w:pPr>
        <w:pStyle w:val="Compact"/>
        <w:numPr>
          <w:ilvl w:val="0"/>
          <w:numId w:val="1027"/>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027"/>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027"/>
        </w:numPr>
      </w:pPr>
      <w:r>
        <w:t xml:space="preserve">The plan shall describe management commitment, compliance, and the strategic goals and objectives of the privacy program. (PM-18a.4)</w:t>
      </w:r>
    </w:p>
    <w:p>
      <w:pPr>
        <w:pStyle w:val="Compact"/>
        <w:numPr>
          <w:ilvl w:val="0"/>
          <w:numId w:val="1027"/>
        </w:numPr>
      </w:pPr>
      <w:r>
        <w:t xml:space="preserve">The plan shall reflect coordination among the organizational entities responsible for the different aspects of privacy. (PM-18a.5)</w:t>
      </w:r>
    </w:p>
    <w:p>
      <w:pPr>
        <w:pStyle w:val="Compact"/>
        <w:numPr>
          <w:ilvl w:val="0"/>
          <w:numId w:val="1027"/>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027"/>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48" w:name="federal-systems-4"/>
    <w:p>
      <w:pPr>
        <w:pStyle w:val="Heading4"/>
      </w:pPr>
      <w:r>
        <w:t xml:space="preserve">Federal systems</w:t>
      </w:r>
    </w:p>
    <w:p>
      <w:pPr>
        <w:pStyle w:val="FirstParagraph"/>
      </w:pPr>
      <w:hyperlink r:id="rId47">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028"/>
        </w:numPr>
      </w:pPr>
      <w:r>
        <w:t xml:space="preserve">The plan shall address the changes in federal privacy laws and policy that apply to the agency. (PM-18b)</w:t>
      </w:r>
    </w:p>
    <w:bookmarkEnd w:id="48"/>
    <w:bookmarkEnd w:id="49"/>
    <w:bookmarkStart w:id="51" w:name="privacy-program-leadership-role-pm-19"/>
    <w:p>
      <w:pPr>
        <w:pStyle w:val="Heading3"/>
      </w:pPr>
      <w:r>
        <w:t xml:space="preserve">Privacy program leadership role (PM-19)</w:t>
      </w:r>
    </w:p>
    <w:p>
      <w:pPr>
        <w:pStyle w:val="Compact"/>
        <w:numPr>
          <w:ilvl w:val="0"/>
          <w:numId w:val="1029"/>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029"/>
        </w:numPr>
      </w:pPr>
      <w:r>
        <w:t xml:space="preserve">The</w:t>
      </w:r>
      <w:r>
        <w:t xml:space="preserve"> </w:t>
      </w:r>
      <w:r>
        <w:rPr>
          <w:rStyle w:val="Fill-in"/>
        </w:rPr>
        <w:t xml:space="preserve">[Senior leader]</w:t>
      </w:r>
      <w:r>
        <w:t xml:space="preserve"> </w:t>
      </w:r>
      <w:r>
        <w:t xml:space="preserve">shall record the appointment in writing. (PM-19)</w:t>
      </w:r>
    </w:p>
    <w:bookmarkStart w:id="50" w:name="federal-systems-5"/>
    <w:p>
      <w:pPr>
        <w:pStyle w:val="Heading4"/>
      </w:pPr>
      <w:r>
        <w:t xml:space="preserve">Federal systems</w:t>
      </w:r>
    </w:p>
    <w:p>
      <w:pPr>
        <w:pStyle w:val="FirstParagraph"/>
      </w:pPr>
      <w:hyperlink r:id="rId47">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030"/>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50"/>
    <w:bookmarkEnd w:id="51"/>
    <w:bookmarkStart w:id="54" w:name="X8c58b1a686d2e657983ac5a638c64d23a299233"/>
    <w:p>
      <w:pPr>
        <w:pStyle w:val="Heading3"/>
      </w:pPr>
      <w:r>
        <w:t xml:space="preserve">Dissemination of privacy program information (PM-20)</w:t>
      </w:r>
    </w:p>
    <w:p>
      <w:pPr>
        <w:pStyle w:val="Compact"/>
        <w:numPr>
          <w:ilvl w:val="0"/>
          <w:numId w:val="1031"/>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031"/>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031"/>
        </w:numPr>
      </w:pPr>
      <w:r>
        <w:t xml:space="preserve">The page shall make the organization’s privacy practices and reports publicly available. (PM-20b)</w:t>
      </w:r>
    </w:p>
    <w:p>
      <w:pPr>
        <w:pStyle w:val="Compact"/>
        <w:numPr>
          <w:ilvl w:val="0"/>
          <w:numId w:val="1031"/>
        </w:numPr>
      </w:pPr>
      <w:r>
        <w:t xml:space="preserve">The page shall list a public email address or phone line for feedback and questions to the privacy office. (PM-20c)</w:t>
      </w:r>
    </w:p>
    <w:bookmarkStart w:id="53" w:name="federal-systems-6"/>
    <w:p>
      <w:pPr>
        <w:pStyle w:val="Heading4"/>
      </w:pPr>
      <w:r>
        <w:t xml:space="preserve">Federal systems</w:t>
      </w:r>
    </w:p>
    <w:p>
      <w:pPr>
        <w:pStyle w:val="FirstParagraph"/>
      </w:pPr>
      <w:hyperlink r:id="rId52">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032"/>
        </w:numPr>
      </w:pPr>
      <w:r>
        <w:t xml:space="preserve">The privacy webpage shall be located at the address M-23-22 requires,</w:t>
      </w:r>
      <w:r>
        <w:t xml:space="preserve"> </w:t>
      </w:r>
      <w:r>
        <w:rPr>
          <w:rStyle w:val="VerbatimChar"/>
        </w:rPr>
        <w:t xml:space="preserve">www.[agency].gov/privacy</w:t>
      </w:r>
      <w:r>
        <w:t xml:space="preserve">. (PM-20)</w:t>
      </w:r>
    </w:p>
    <w:bookmarkEnd w:id="53"/>
    <w:bookmarkEnd w:id="54"/>
    <w:bookmarkStart w:id="55" w:name="Xe8d1be3de77fe075c208d4409c9bd299e6e15d7"/>
    <w:p>
      <w:pPr>
        <w:pStyle w:val="Heading3"/>
      </w:pPr>
      <w:r>
        <w:t xml:space="preserve">Privacy policies on websites, applications and digital services (PM-20(1))</w:t>
      </w:r>
    </w:p>
    <w:p>
      <w:pPr>
        <w:pStyle w:val="Compact"/>
        <w:numPr>
          <w:ilvl w:val="0"/>
          <w:numId w:val="1033"/>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033"/>
        </w:numPr>
      </w:pPr>
      <w:r>
        <w:t xml:space="preserve">Each privacy policy shall be written in plain language and organized so that it is easy to understand and navigate. (PM-20(1)(a))</w:t>
      </w:r>
    </w:p>
    <w:p>
      <w:pPr>
        <w:pStyle w:val="Compact"/>
        <w:numPr>
          <w:ilvl w:val="0"/>
          <w:numId w:val="1033"/>
        </w:numPr>
      </w:pPr>
      <w:r>
        <w:t xml:space="preserve">Each privacy policy shall give the public the information it needs to decide whether and how to interact with the organization. (PM-20(1)(b))</w:t>
      </w:r>
    </w:p>
    <w:p>
      <w:pPr>
        <w:pStyle w:val="Compact"/>
        <w:numPr>
          <w:ilvl w:val="0"/>
          <w:numId w:val="1033"/>
        </w:numPr>
      </w:pPr>
      <w:r>
        <w:t xml:space="preserve">Each privacy policy shall be updated whenever the organization makes a substantive change to the practices it describes, and shall show the date of the latest change. (PM-20(1)(c))</w:t>
      </w:r>
    </w:p>
    <w:bookmarkEnd w:id="55"/>
    <w:bookmarkStart w:id="58" w:name="accounting-of-disclosures-pm-21"/>
    <w:p>
      <w:pPr>
        <w:pStyle w:val="Heading3"/>
      </w:pPr>
      <w:r>
        <w:t xml:space="preserve">Accounting of disclosures (PM-21)</w:t>
      </w:r>
    </w:p>
    <w:p>
      <w:pPr>
        <w:pStyle w:val="Compact"/>
        <w:numPr>
          <w:ilvl w:val="0"/>
          <w:numId w:val="1034"/>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034"/>
        </w:numPr>
      </w:pPr>
      <w:r>
        <w:t xml:space="preserve">The accounting shall record the name and address, or other contact information, of the individual or organization that received the disclosure. (PM-21a.2)</w:t>
      </w:r>
    </w:p>
    <w:p>
      <w:pPr>
        <w:pStyle w:val="Compact"/>
        <w:numPr>
          <w:ilvl w:val="0"/>
          <w:numId w:val="1034"/>
        </w:numPr>
      </w:pPr>
      <w:r>
        <w:t xml:space="preserve">The accounting shall be kept for as long as the personally identifiable information is maintained or five years after the disclosure, whichever is longer. (PM-21b)</w:t>
      </w:r>
    </w:p>
    <w:p>
      <w:pPr>
        <w:pStyle w:val="Compact"/>
        <w:numPr>
          <w:ilvl w:val="0"/>
          <w:numId w:val="1034"/>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57" w:name="federal-systems-7"/>
    <w:p>
      <w:pPr>
        <w:pStyle w:val="Heading4"/>
      </w:pPr>
      <w:r>
        <w:t xml:space="preserve">Federal systems</w:t>
      </w:r>
    </w:p>
    <w:p>
      <w:pPr>
        <w:pStyle w:val="FirstParagraph"/>
      </w:pPr>
      <w:r>
        <w:t xml:space="preserve">For records in a Privacy Act system of records,</w:t>
      </w:r>
      <w:r>
        <w:t xml:space="preserve"> </w:t>
      </w:r>
      <w:hyperlink r:id="rId56">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035"/>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57"/>
    <w:bookmarkEnd w:id="58"/>
    <w:bookmarkStart w:id="59" w:name="X7569689a71f1327a9a5746a49abc189c947a1f2"/>
    <w:p>
      <w:pPr>
        <w:pStyle w:val="Heading3"/>
      </w:pPr>
      <w:r>
        <w:t xml:space="preserve">Personally identifiable information quality management (PM-22)</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036"/>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59"/>
    <w:bookmarkStart w:id="60" w:name="data-governance-body-pm-23"/>
    <w:p>
      <w:pPr>
        <w:pStyle w:val="Heading3"/>
      </w:pPr>
      <w:r>
        <w:t xml:space="preserve">Data governance body (PM-23)</w:t>
      </w:r>
    </w:p>
    <w:p>
      <w:pPr>
        <w:pStyle w:val="Compact"/>
        <w:numPr>
          <w:ilvl w:val="0"/>
          <w:numId w:val="1037"/>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60"/>
    <w:bookmarkStart w:id="62" w:name="data-integrity-board-pm-24"/>
    <w:p>
      <w:pPr>
        <w:pStyle w:val="Heading3"/>
      </w:pPr>
      <w:r>
        <w:t xml:space="preserve">Data integrity board (PM-24)</w:t>
      </w:r>
    </w:p>
    <w:p>
      <w:pPr>
        <w:pStyle w:val="Compact"/>
        <w:numPr>
          <w:ilvl w:val="0"/>
          <w:numId w:val="1038"/>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038"/>
        </w:numPr>
      </w:pPr>
      <w:r>
        <w:t xml:space="preserve">The board shall review each proposal to conduct or take part in a matching program before the organization commits to it. (PM-24a)</w:t>
      </w:r>
    </w:p>
    <w:p>
      <w:pPr>
        <w:pStyle w:val="Compact"/>
        <w:numPr>
          <w:ilvl w:val="0"/>
          <w:numId w:val="1038"/>
        </w:numPr>
      </w:pPr>
      <w:r>
        <w:t xml:space="preserve">The board shall review, each year, every matching program the organization took part in. (PM-24b)</w:t>
      </w:r>
    </w:p>
    <w:bookmarkStart w:id="61" w:name="federal-systems-8"/>
    <w:p>
      <w:pPr>
        <w:pStyle w:val="Heading4"/>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56">
        <w:r>
          <w:rPr>
            <w:rStyle w:val="Hyperlink"/>
          </w:rPr>
          <w:t xml:space="preserve">5 U.S.C. § 552a(u)</w:t>
        </w:r>
      </w:hyperlink>
      <w:r>
        <w:t xml:space="preserve">).</w:t>
      </w:r>
    </w:p>
    <w:p>
      <w:pPr>
        <w:pStyle w:val="Compact"/>
        <w:numPr>
          <w:ilvl w:val="0"/>
          <w:numId w:val="1039"/>
        </w:numPr>
      </w:pPr>
      <w:r>
        <w:t xml:space="preserve">The data integrity board shall be established, staffed and run as 5 U.S.C. § 552a(u) requires. (PM-24)</w:t>
      </w:r>
    </w:p>
    <w:bookmarkEnd w:id="61"/>
    <w:bookmarkEnd w:id="62"/>
    <w:bookmarkStart w:id="63" w:name="X60a37a65fbb871e1bf4e10c6dadffc80a4b8ade"/>
    <w:p>
      <w:pPr>
        <w:pStyle w:val="Heading3"/>
      </w:pPr>
      <w:r>
        <w:t xml:space="preserve">Minimization of personally identifiable information used in testing, training and research (PM-25)</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040"/>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040"/>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63"/>
    <w:bookmarkStart w:id="64" w:name="complaint-management-pm-26"/>
    <w:p>
      <w:pPr>
        <w:pStyle w:val="Heading3"/>
      </w:pPr>
      <w:r>
        <w:t xml:space="preserve">Complaint management (PM-26)</w:t>
      </w:r>
    </w:p>
    <w:p>
      <w:pPr>
        <w:pStyle w:val="Compact"/>
        <w:numPr>
          <w:ilvl w:val="0"/>
          <w:numId w:val="1041"/>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041"/>
        </w:numPr>
      </w:pPr>
      <w:r>
        <w:t xml:space="preserve">The process shall offer ways to file that are easy to use and readily accessible to the public. (PM-26a)</w:t>
      </w:r>
    </w:p>
    <w:p>
      <w:pPr>
        <w:pStyle w:val="Compact"/>
        <w:numPr>
          <w:ilvl w:val="0"/>
          <w:numId w:val="1041"/>
        </w:numPr>
      </w:pPr>
      <w:r>
        <w:t xml:space="preserve">The process shall tell individuals all the information they need to file a complaint successfully. (PM-26b)</w:t>
      </w:r>
    </w:p>
    <w:p>
      <w:pPr>
        <w:pStyle w:val="Compact"/>
        <w:numPr>
          <w:ilvl w:val="0"/>
          <w:numId w:val="1041"/>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041"/>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041"/>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64"/>
    <w:bookmarkStart w:id="65" w:name="privacy-reporting-pm-27"/>
    <w:p>
      <w:pPr>
        <w:pStyle w:val="Heading3"/>
      </w:pPr>
      <w:r>
        <w:t xml:space="preserve">Privacy reporting (PM-27)</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042"/>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65"/>
    <w:bookmarkStart w:id="66" w:name="risk-framing-pm-28"/>
    <w:p>
      <w:pPr>
        <w:pStyle w:val="Heading3"/>
      </w:pPr>
      <w:r>
        <w:t xml:space="preserve">Risk framing (PM-28)</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043"/>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66"/>
    <w:bookmarkStart w:id="67" w:name="X5f82af3e72732422103a00e993f11a225c92bbb"/>
    <w:p>
      <w:pPr>
        <w:pStyle w:val="Heading3"/>
      </w:pPr>
      <w:r>
        <w:t xml:space="preserve">Risk management program leadership roles (PM-29)</w:t>
      </w:r>
    </w:p>
    <w:p>
      <w:pPr>
        <w:pStyle w:val="Compact"/>
        <w:numPr>
          <w:ilvl w:val="0"/>
          <w:numId w:val="1044"/>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044"/>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67"/>
    <w:bookmarkStart w:id="68" w:name="X9465905a517f3307e8626b041d923e84b16fe0b"/>
    <w:p>
      <w:pPr>
        <w:pStyle w:val="Heading3"/>
      </w:pPr>
      <w:r>
        <w:t xml:space="preserve">Supply chain risk management strategy (PM-30)</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68"/>
    <w:bookmarkStart w:id="69" w:name="Xc3761b85f792431edd5829831568fac0786d355"/>
    <w:p>
      <w:pPr>
        <w:pStyle w:val="Heading3"/>
      </w:pPr>
      <w:r>
        <w:t xml:space="preserve">Suppliers of critical or mission-essential items (PM-30(1))</w:t>
      </w:r>
    </w:p>
    <w:p>
      <w:pPr>
        <w:pStyle w:val="Compact"/>
        <w:numPr>
          <w:ilvl w:val="0"/>
          <w:numId w:val="1046"/>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046"/>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69"/>
    <w:bookmarkStart w:id="70" w:name="continuous-monitoring-strategy-pm-31"/>
    <w:p>
      <w:pPr>
        <w:pStyle w:val="Heading3"/>
      </w:pPr>
      <w:r>
        <w:t xml:space="preserve">Continuous monitoring strategy (PM-31)</w:t>
      </w:r>
    </w:p>
    <w:p>
      <w:pPr>
        <w:pStyle w:val="Compact"/>
        <w:numPr>
          <w:ilvl w:val="0"/>
          <w:numId w:val="1047"/>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047"/>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047"/>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047"/>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047"/>
        </w:numPr>
      </w:pPr>
      <w:r>
        <w:t xml:space="preserve">The programs shall monitor the organization-wide metrics on an ongoing basis, as the strategy sets out. (PM-31c)</w:t>
      </w:r>
    </w:p>
    <w:p>
      <w:pPr>
        <w:pStyle w:val="Compact"/>
        <w:numPr>
          <w:ilvl w:val="0"/>
          <w:numId w:val="1047"/>
        </w:numPr>
      </w:pPr>
      <w:r>
        <w:t xml:space="preserve">The programs shall correlate and analyze the information that control assessments and monitoring produce. (PM-31d)</w:t>
      </w:r>
    </w:p>
    <w:p>
      <w:pPr>
        <w:pStyle w:val="Compact"/>
        <w:numPr>
          <w:ilvl w:val="0"/>
          <w:numId w:val="1047"/>
        </w:numPr>
      </w:pPr>
      <w:r>
        <w:t xml:space="preserve">The programs shall take response actions to address the results of that analysis. (PM-31e)</w:t>
      </w:r>
    </w:p>
    <w:p>
      <w:pPr>
        <w:pStyle w:val="Compact"/>
        <w:numPr>
          <w:ilvl w:val="0"/>
          <w:numId w:val="1047"/>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047"/>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70"/>
    <w:bookmarkStart w:id="71" w:name="purposing-pm-32"/>
    <w:p>
      <w:pPr>
        <w:pStyle w:val="Heading3"/>
      </w:pPr>
      <w:r>
        <w:t xml:space="preserve">Purposing (PM-32)</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71"/>
    <w:bookmarkEnd w:id="72"/>
    <w:bookmarkStart w:id="74" w:name="review-and-update"/>
    <w:p>
      <w:pPr>
        <w:pStyle w:val="Heading2"/>
      </w:pPr>
      <w:r>
        <w:t xml:space="preserve">Review and update</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review this policy whenever the program plan is reviewed, and update it when the review finds a change is needed. (PM-1b)</w:t>
      </w:r>
    </w:p>
    <w:bookmarkStart w:id="73" w:name="federal-systems-9"/>
    <w:p>
      <w:pPr>
        <w:pStyle w:val="Heading3"/>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18">
        <w:r>
          <w:rPr>
            <w:rStyle w:val="Hyperlink"/>
          </w:rPr>
          <w:t xml:space="preserve">44 U.S.C. § 3554(b)</w:t>
        </w:r>
      </w:hyperlink>
      <w:r>
        <w:t xml:space="preserve">) and</w:t>
      </w:r>
      <w:r>
        <w:t xml:space="preserve"> </w:t>
      </w:r>
      <w:hyperlink r:id="rId47">
        <w:r>
          <w:rPr>
            <w:rStyle w:val="Hyperlink"/>
          </w:rPr>
          <w:t xml:space="preserve">OMB Circular A-130</w:t>
        </w:r>
      </w:hyperlink>
      <w:r>
        <w:t xml:space="preserve">, Appendix I, Responsibilities for Protecting and Managing Federal Information Resources.</w:t>
      </w:r>
    </w:p>
    <w:p>
      <w:pPr>
        <w:pStyle w:val="Compact"/>
        <w:numPr>
          <w:ilvl w:val="0"/>
          <w:numId w:val="1050"/>
        </w:numPr>
      </w:pPr>
      <w:r>
        <w:t xml:space="preserve">The program plan shall carry out the agency-wide information security program that 44 U.S.C. § 3554(b) requires. (PM-1a)</w:t>
      </w:r>
    </w:p>
    <w:bookmarkEnd w:id="73"/>
    <w:bookmarkEnd w:id="74"/>
    <w:bookmarkEnd w:id="7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Program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4" Target="https://csrc.nist.gov/pubs/sp/800/171/r3/final" TargetMode="External" /><Relationship Type="http://schemas.openxmlformats.org/officeDocument/2006/relationships/hyperlink" Id="rId9" Target="https://kston83.github.io/nist-guide/templates/policies/pm/" TargetMode="External" /><Relationship Type="http://schemas.openxmlformats.org/officeDocument/2006/relationships/hyperlink" Id="rId23" Target="https://uscode.house.gov/view.xhtml?req=granuleid:USC-prelim-title44-section3505&amp;num=0&amp;edition=prelim" TargetMode="External" /><Relationship Type="http://schemas.openxmlformats.org/officeDocument/2006/relationships/hyperlink" Id="rId18" Target="https://uscode.house.gov/view.xhtml?req=granuleid:USC-prelim-title44-section3554&amp;num=0&amp;edition=prelim" TargetMode="External" /><Relationship Type="http://schemas.openxmlformats.org/officeDocument/2006/relationships/hyperlink" Id="rId56" Target="https://uscode.house.gov/view.xhtml?req=granuleid:USC-prelim-title5-section552a&amp;num=0&amp;edition=prelim" TargetMode="External" /><Relationship Type="http://schemas.openxmlformats.org/officeDocument/2006/relationships/hyperlink" Id="rId42" Target="https://www.ecfr.gov/current/title-32/section-2002.14" TargetMode="External" /><Relationship Type="http://schemas.openxmlformats.org/officeDocument/2006/relationships/hyperlink" Id="rId43" Target="https://www.ecfr.gov/current/title-32/section-2002.2" TargetMode="External" /><Relationship Type="http://schemas.openxmlformats.org/officeDocument/2006/relationships/hyperlink" Id="rId34" Target="https://www.federalregister.gov/documents/2011/10/13/2011-26729/structural-reforms-to-improve-the-security-of-classified-networks-and-the-responsible-sharing-and" TargetMode="External" /><Relationship Type="http://schemas.openxmlformats.org/officeDocument/2006/relationships/hyperlink" Id="rId52" Target="https://www.whitehouse.gov/wp-content/uploads/2023/09/M-23-22-Delivering-a-Digital-First-Public-Experience.pdf" TargetMode="External" /><Relationship Type="http://schemas.openxmlformats.org/officeDocument/2006/relationships/hyperlink" Id="rId4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4" Target="https://csrc.nist.gov/pubs/sp/800/171/r3/final" TargetMode="External" /><Relationship Type="http://schemas.openxmlformats.org/officeDocument/2006/relationships/hyperlink" Id="rId9" Target="https://kston83.github.io/nist-guide/templates/policies/pm/" TargetMode="External" /><Relationship Type="http://schemas.openxmlformats.org/officeDocument/2006/relationships/hyperlink" Id="rId23" Target="https://uscode.house.gov/view.xhtml?req=granuleid:USC-prelim-title44-section3505&amp;num=0&amp;edition=prelim" TargetMode="External" /><Relationship Type="http://schemas.openxmlformats.org/officeDocument/2006/relationships/hyperlink" Id="rId18" Target="https://uscode.house.gov/view.xhtml?req=granuleid:USC-prelim-title44-section3554&amp;num=0&amp;edition=prelim" TargetMode="External" /><Relationship Type="http://schemas.openxmlformats.org/officeDocument/2006/relationships/hyperlink" Id="rId56" Target="https://uscode.house.gov/view.xhtml?req=granuleid:USC-prelim-title5-section552a&amp;num=0&amp;edition=prelim" TargetMode="External" /><Relationship Type="http://schemas.openxmlformats.org/officeDocument/2006/relationships/hyperlink" Id="rId42" Target="https://www.ecfr.gov/current/title-32/section-2002.14" TargetMode="External" /><Relationship Type="http://schemas.openxmlformats.org/officeDocument/2006/relationships/hyperlink" Id="rId43" Target="https://www.ecfr.gov/current/title-32/section-2002.2" TargetMode="External" /><Relationship Type="http://schemas.openxmlformats.org/officeDocument/2006/relationships/hyperlink" Id="rId34" Target="https://www.federalregister.gov/documents/2011/10/13/2011-26729/structural-reforms-to-improve-the-security-of-classified-networks-and-the-responsible-sharing-and" TargetMode="External" /><Relationship Type="http://schemas.openxmlformats.org/officeDocument/2006/relationships/hyperlink" Id="rId52" Target="https://www.whitehouse.gov/wp-content/uploads/2023/09/M-23-22-Delivering-a-Digital-First-Public-Experience.pdf" TargetMode="External" /><Relationship Type="http://schemas.openxmlformats.org/officeDocument/2006/relationships/hyperlink" Id="rId4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