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risk-assessment-policy"/>
    <w:p>
      <w:pPr>
        <w:pStyle w:val="Heading1"/>
      </w:pPr>
      <w:r>
        <w:t xml:space="preserve">Risk Assessment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https://kston83.github.io/nist-guide/templates/policies/ra/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Risk Assessment, and who is accountable for meeting those requirements. (RA-1a.1(a))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(RA-1a.1(a))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(RA-1a.1(a))</w:t>
      </w:r>
    </w:p>
    <w:p>
      <w:pPr>
        <w:pStyle w:val="Compact"/>
        <w:numPr>
          <w:ilvl w:val="0"/>
          <w:numId w:val="1001"/>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manage the development, documentation and dissemination of this policy and its procedures. (RA-1b)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(RA-1a.1(a))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(RA-1a.1(a))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(RA-1a.1(a))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(RA-1a.1(a))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(RA-1a.1(b))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(RA-1a.1(a))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(RA-1a.1(a))</w:t>
      </w:r>
    </w:p>
    <w:p>
      <w:pPr>
        <w:pStyle w:val="Compact"/>
        <w:numPr>
          <w:ilvl w:val="0"/>
          <w:numId w:val="1002"/>
        </w:numPr>
      </w:pPr>
      <w:r>
        <w:t xml:space="preserve">Violations of this policy shall be handled through the organization’s sanctions process. (RA-1a.1(a))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ensure that documented procedures exist to implement this policy and its associated controls. (RA-1a.2)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this policy to</w:t>
      </w:r>
      <w:r>
        <w:t xml:space="preserve"> </w:t>
      </w:r>
      <w:r>
        <w:rPr>
          <w:rStyle w:val="Fill-in"/>
        </w:rPr>
        <w:t xml:space="preserve">[Fill in: personnel or roles to whom the risk assessment policy is to be disseminated. Typical: everyone within its scope, through the policy library]</w:t>
      </w:r>
      <w:r>
        <w:t xml:space="preserve">. (RA-1a)</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risk assessment procedures are to be disseminated. Typical: the people who carry them out, and the system owners]</w:t>
      </w:r>
      <w:r>
        <w:t xml:space="preserve">. (RA-1a)</w:t>
      </w:r>
    </w:p>
    <w:bookmarkEnd w:id="18"/>
    <w:bookmarkStart w:id="35" w:name="policy-statements"/>
    <w:p>
      <w:pPr>
        <w:pStyle w:val="Heading2"/>
      </w:pPr>
      <w:r>
        <w:t xml:space="preserve">Policy statements</w:t>
      </w:r>
    </w:p>
    <w:bookmarkStart w:id="23" w:name="security-categorization-ra-2"/>
    <w:p>
      <w:pPr>
        <w:pStyle w:val="Heading3"/>
      </w:pPr>
      <w:r>
        <w:t xml:space="preserve">Security categorization (RA-2)</w:t>
      </w:r>
    </w:p>
    <w:p>
      <w:pPr>
        <w:pStyle w:val="Compact"/>
        <w:numPr>
          <w:ilvl w:val="0"/>
          <w:numId w:val="1004"/>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004"/>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22" w:name="federal-systems"/>
    <w:p>
      <w:pPr>
        <w:pStyle w:val="Heading4"/>
      </w:pPr>
      <w:r>
        <w:t xml:space="preserve">Federal systems</w:t>
      </w:r>
    </w:p>
    <w:p>
      <w:pPr>
        <w:pStyle w:val="FirstParagraph"/>
      </w:pPr>
      <w:r>
        <w:t xml:space="preserve">Federal systems categorize information and systems under</w:t>
      </w:r>
      <w:r>
        <w:t xml:space="preserve"> </w:t>
      </w:r>
      <w:hyperlink r:id="rId19">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20">
        <w:r>
          <w:rPr>
            <w:rStyle w:val="Hyperlink"/>
          </w:rPr>
          <w:t xml:space="preserve">NIST SP 800-60 Rev. 1</w:t>
        </w:r>
      </w:hyperlink>
      <w:r>
        <w:t xml:space="preserve"> </w:t>
      </w:r>
      <w:r>
        <w:t xml:space="preserve">(August 2008; Volume 2 lists the types). A</w:t>
      </w:r>
      <w:r>
        <w:t xml:space="preserve"> </w:t>
      </w:r>
      <w:hyperlink r:id="rId21">
        <w:r>
          <w:rPr>
            <w:rStyle w:val="Hyperlink"/>
          </w:rPr>
          <w:t xml:space="preserve">Rev. 2 initial working draft</w:t>
        </w:r>
      </w:hyperlink>
      <w:r>
        <w:t xml:space="preserve"> </w:t>
      </w:r>
      <w:r>
        <w:t xml:space="preserve">(January 2024) is not final,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005"/>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22"/>
    <w:bookmarkEnd w:id="23"/>
    <w:bookmarkStart w:id="24" w:name="risk-assessment-ra-3"/>
    <w:p>
      <w:pPr>
        <w:pStyle w:val="Heading3"/>
      </w:pPr>
      <w:r>
        <w:t xml:space="preserve">Risk assessment (RA-3)</w:t>
      </w:r>
    </w:p>
    <w:p>
      <w:pPr>
        <w:pStyle w:val="Compact"/>
        <w:numPr>
          <w:ilvl w:val="0"/>
          <w:numId w:val="1006"/>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006"/>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006"/>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006"/>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006"/>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006"/>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24"/>
    <w:bookmarkStart w:id="25" w:name="supply-chain-risk-assessment-ra-31"/>
    <w:p>
      <w:pPr>
        <w:pStyle w:val="Heading3"/>
      </w:pPr>
      <w:r>
        <w:t xml:space="preserve">Supply chain risk assessment (RA-3(1))</w:t>
      </w:r>
    </w:p>
    <w:p>
      <w:pPr>
        <w:pStyle w:val="Compact"/>
        <w:numPr>
          <w:ilvl w:val="0"/>
          <w:numId w:val="1007"/>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007"/>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25"/>
    <w:bookmarkStart w:id="29" w:name="X31ac242ebdd864f1ae371123ffa1b593dcfd685"/>
    <w:p>
      <w:pPr>
        <w:pStyle w:val="Heading3"/>
      </w:pPr>
      <w:r>
        <w:t xml:space="preserve">Vulnerability monitoring and scanning (RA-5)</w:t>
      </w:r>
    </w:p>
    <w:p>
      <w:pPr>
        <w:pStyle w:val="Compact"/>
        <w:numPr>
          <w:ilvl w:val="0"/>
          <w:numId w:val="1008"/>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008"/>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008"/>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008"/>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28" w:name="federal-systems-1"/>
    <w:p>
      <w:pPr>
        <w:pStyle w:val="Heading4"/>
      </w:pPr>
      <w:r>
        <w:t xml:space="preserve">Federal systems</w:t>
      </w:r>
    </w:p>
    <w:p>
      <w:pPr>
        <w:pStyle w:val="FirstParagraph"/>
      </w:pPr>
      <w:r>
        <w:t xml:space="preserve">CISA binding operational directives set minimums for federal civilian agencies (as of September 2026).</w:t>
      </w:r>
      <w:r>
        <w:t xml:space="preserve"> </w:t>
      </w:r>
      <w:hyperlink r:id="rId26">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27">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009"/>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28"/>
    <w:bookmarkEnd w:id="29"/>
    <w:bookmarkStart w:id="30" w:name="Xfe0b4acf041bc64d1ef6c767f45e266c2b44842"/>
    <w:p>
      <w:pPr>
        <w:pStyle w:val="Heading3"/>
      </w:pPr>
      <w:r>
        <w:t xml:space="preserve">Update vulnerabilities to be scanned (RA-5(2))</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30"/>
    <w:bookmarkStart w:id="33" w:name="public-disclosure-program-ra-511"/>
    <w:p>
      <w:pPr>
        <w:pStyle w:val="Heading3"/>
      </w:pPr>
      <w:r>
        <w:t xml:space="preserve">Public disclosure program (RA-5(11))</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32" w:name="federal-systems-2"/>
    <w:p>
      <w:pPr>
        <w:pStyle w:val="Heading4"/>
      </w:pPr>
      <w:r>
        <w:t xml:space="preserve">Federal systems</w:t>
      </w:r>
    </w:p>
    <w:p>
      <w:pPr>
        <w:pStyle w:val="FirstParagraph"/>
      </w:pPr>
      <w:hyperlink r:id="rId31">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32"/>
    <w:bookmarkEnd w:id="33"/>
    <w:bookmarkStart w:id="34" w:name="risk-response-ra-7"/>
    <w:p>
      <w:pPr>
        <w:pStyle w:val="Heading3"/>
      </w:pPr>
      <w:r>
        <w:t xml:space="preserve">Risk response (RA-7)</w:t>
      </w:r>
    </w:p>
    <w:p>
      <w:pPr>
        <w:pStyle w:val="Compact"/>
        <w:numPr>
          <w:ilvl w:val="0"/>
          <w:numId w:val="1013"/>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013"/>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013"/>
        </w:numPr>
      </w:pPr>
      <w:r>
        <w:t xml:space="preserve">A risk to an authorized system shall be accepted only by its authorizing official, after consulting the roles the risk management strategy names for that risk level. (RA-7)</w:t>
      </w:r>
    </w:p>
    <w:bookmarkEnd w:id="34"/>
    <w:bookmarkEnd w:id="35"/>
    <w:bookmarkStart w:id="39" w:name="review-and-update"/>
    <w:p>
      <w:pPr>
        <w:pStyle w:val="Heading2"/>
      </w:pPr>
      <w:r>
        <w:t xml:space="preserve">Review and update</w:t>
      </w:r>
    </w:p>
    <w:p>
      <w:pPr>
        <w:pStyle w:val="Compact"/>
        <w:numPr>
          <w:ilvl w:val="0"/>
          <w:numId w:val="1014"/>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risk assessment policy is reviewed and updated. Typical: annually]</w:t>
      </w:r>
      <w:r>
        <w:t xml:space="preserve"> </w:t>
      </w:r>
      <w:r>
        <w:t xml:space="preserve">and following</w:t>
      </w:r>
      <w:r>
        <w:t xml:space="preserve"> </w:t>
      </w:r>
      <w:r>
        <w:rPr>
          <w:rStyle w:val="Fill-in"/>
        </w:rPr>
        <w:t xml:space="preserve">[Fill in: events that would require the current risk assessment policy to be reviewed and updated. Typical: assessment or audit findings, security incidents or breaches, and changes in applicable laws, executive orders, directives, regulations, policies, standards or guidelines]</w:t>
      </w:r>
      <w:r>
        <w:t xml:space="preserve">. (RA-1c.1)</w:t>
      </w:r>
    </w:p>
    <w:p>
      <w:pPr>
        <w:pStyle w:val="Compact"/>
        <w:numPr>
          <w:ilvl w:val="0"/>
          <w:numId w:val="1014"/>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risk assessment procedures are reviewed and updated. Typical: annually]</w:t>
      </w:r>
      <w:r>
        <w:t xml:space="preserve"> </w:t>
      </w:r>
      <w:r>
        <w:t xml:space="preserve">and following</w:t>
      </w:r>
      <w:r>
        <w:t xml:space="preserve"> </w:t>
      </w:r>
      <w:r>
        <w:rPr>
          <w:rStyle w:val="Fill-in"/>
        </w:rPr>
        <w:t xml:space="preserve">[Fill in: events that would require risk assessment procedures to be reviewed and updated. Typical: the same events as the policy, and changes to the systems, tools or services the procedures describe]</w:t>
      </w:r>
      <w:r>
        <w:t xml:space="preserve">. (RA-1c.2)</w:t>
      </w:r>
    </w:p>
    <w:bookmarkStart w:id="38"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6">
        <w:r>
          <w:rPr>
            <w:rStyle w:val="Hyperlink"/>
          </w:rPr>
          <w:t xml:space="preserve">44 U.S.C. § 3554</w:t>
        </w:r>
      </w:hyperlink>
      <w:r>
        <w:t xml:space="preserve">, Federal agency responsibilities) and</w:t>
      </w:r>
      <w:r>
        <w:t xml:space="preserve"> </w:t>
      </w:r>
      <w:hyperlink r:id="rId37">
        <w:r>
          <w:rPr>
            <w:rStyle w:val="Hyperlink"/>
          </w:rPr>
          <w:t xml:space="preserve">OMB Circular A-130</w:t>
        </w:r>
      </w:hyperlink>
      <w:r>
        <w:t xml:space="preserve">, Appendix I, Responsibilities for Protecting and Managing Federal Information Resources.</w:t>
      </w:r>
    </w:p>
    <w:p>
      <w:pPr>
        <w:pStyle w:val="Compact"/>
        <w:numPr>
          <w:ilvl w:val="0"/>
          <w:numId w:val="1015"/>
        </w:numPr>
      </w:pPr>
      <w:r>
        <w:t xml:space="preserve">Where the agency’s organization-wide policy sets a value for a parameter in this policy, each system shall use that value or a stricter one. (RA-1a.1(b))</w:t>
      </w:r>
    </w:p>
    <w:bookmarkEnd w:id="38"/>
    <w:bookmarkEnd w:id="39"/>
    <w:bookmarkEnd w:id="4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Assessment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199/final" TargetMode="External" /><Relationship Type="http://schemas.openxmlformats.org/officeDocument/2006/relationships/hyperlink" Id="rId21" Target="https://csrc.nist.gov/pubs/sp/800/60/r2/iwd" TargetMode="External" /><Relationship Type="http://schemas.openxmlformats.org/officeDocument/2006/relationships/hyperlink" Id="rId20" Target="https://csrc.nist.gov/pubs/sp/800/60/v1/r1/final" TargetMode="External" /><Relationship Type="http://schemas.openxmlformats.org/officeDocument/2006/relationships/hyperlink" Id="rId9" Target="https://kston83.github.io/nist-guide/templates/policies/ra/" TargetMode="External" /><Relationship Type="http://schemas.openxmlformats.org/officeDocument/2006/relationships/hyperlink" Id="rId36" Target="https://uscode.house.gov/view.xhtml?req=granuleid:USC-prelim-title44-section3554&amp;num=0&amp;edition=prelim" TargetMode="External" /><Relationship Type="http://schemas.openxmlformats.org/officeDocument/2006/relationships/hyperlink" Id="rId31" Target="https://www.cisa.gov/news-events/directives/bod-20-01-develop-and-publish-vulnerability-disclosure-policy" TargetMode="External" /><Relationship Type="http://schemas.openxmlformats.org/officeDocument/2006/relationships/hyperlink" Id="rId27" Target="https://www.cisa.gov/news-events/directives/bod-23-01-improving-asset-visibility-and-vulnerability-detection-federal-networks" TargetMode="External" /><Relationship Type="http://schemas.openxmlformats.org/officeDocument/2006/relationships/hyperlink" Id="rId26" Target="https://www.cisa.gov/news-events/directives/bod-26-04-prioritizing-security-updates-based-risk" TargetMode="External" /><Relationship Type="http://schemas.openxmlformats.org/officeDocument/2006/relationships/hyperlink" Id="rId3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199/final" TargetMode="External" /><Relationship Type="http://schemas.openxmlformats.org/officeDocument/2006/relationships/hyperlink" Id="rId21" Target="https://csrc.nist.gov/pubs/sp/800/60/r2/iwd" TargetMode="External" /><Relationship Type="http://schemas.openxmlformats.org/officeDocument/2006/relationships/hyperlink" Id="rId20" Target="https://csrc.nist.gov/pubs/sp/800/60/v1/r1/final" TargetMode="External" /><Relationship Type="http://schemas.openxmlformats.org/officeDocument/2006/relationships/hyperlink" Id="rId9" Target="https://kston83.github.io/nist-guide/templates/policies/ra/" TargetMode="External" /><Relationship Type="http://schemas.openxmlformats.org/officeDocument/2006/relationships/hyperlink" Id="rId36" Target="https://uscode.house.gov/view.xhtml?req=granuleid:USC-prelim-title44-section3554&amp;num=0&amp;edition=prelim" TargetMode="External" /><Relationship Type="http://schemas.openxmlformats.org/officeDocument/2006/relationships/hyperlink" Id="rId31" Target="https://www.cisa.gov/news-events/directives/bod-20-01-develop-and-publish-vulnerability-disclosure-policy" TargetMode="External" /><Relationship Type="http://schemas.openxmlformats.org/officeDocument/2006/relationships/hyperlink" Id="rId27" Target="https://www.cisa.gov/news-events/directives/bod-23-01-improving-asset-visibility-and-vulnerability-detection-federal-networks" TargetMode="External" /><Relationship Type="http://schemas.openxmlformats.org/officeDocument/2006/relationships/hyperlink" Id="rId26" Target="https://www.cisa.gov/news-events/directives/bod-26-04-prioritizing-security-updates-based-risk" TargetMode="External" /><Relationship Type="http://schemas.openxmlformats.org/officeDocument/2006/relationships/hyperlink" Id="rId3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