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RA-1,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RA-1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42"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security-categorization-ra-2"/>
    <w:p>
      <w:pPr>
        <w:pStyle w:val="Heading3"/>
      </w:pPr>
      <w:r>
        <w:t xml:space="preserve">Security categorization (RA-2)</w:t>
      </w:r>
    </w:p>
    <w:p>
      <w:pPr>
        <w:pStyle w:val="Guidance"/>
      </w:pPr>
      <w:r>
        <w:t xml:space="preserve">Categorization rates how badly a loss of confidentiality, integrity or availability of the system and its information would hurt the organization, and it drives the choice of baseline (PL-10). Work it out with the</w:t>
      </w:r>
      <w:r>
        <w:t xml:space="preserve"> </w:t>
      </w:r>
      <w:hyperlink r:id="rId19">
        <w:r>
          <w:rPr>
            <w:rStyle w:val="Hyperlink"/>
          </w:rPr>
          <w:t xml:space="preserve">Security Categorization Worksheet</w:t>
        </w:r>
      </w:hyperlink>
      <w:r>
        <w:t xml:space="preserve"> </w:t>
      </w:r>
      <w:r>
        <w:t xml:space="preserve">and record the result in the categorization section of the</w:t>
      </w:r>
      <w:r>
        <w:t xml:space="preserve"> </w:t>
      </w:r>
      <w:hyperlink r:id="rId20">
        <w:r>
          <w:rPr>
            <w:rStyle w:val="Hyperlink"/>
          </w:rPr>
          <w:t xml:space="preserve">System Security Plan template</w:t>
        </w:r>
      </w:hyperlink>
      <w:r>
        <w:t xml:space="preserve">.</w:t>
      </w:r>
    </w:p>
    <w:p>
      <w:pPr>
        <w:pStyle w:val="Compact"/>
        <w:numPr>
          <w:ilvl w:val="0"/>
          <w:numId w:val="1004"/>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004"/>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4" w:name="federal-systems"/>
    <w:p>
      <w:pPr>
        <w:pStyle w:val="Heading4"/>
      </w:pPr>
      <w:r>
        <w:t xml:space="preserve">Federal systems</w:t>
      </w:r>
    </w:p>
    <w:p>
      <w:pPr>
        <w:pStyle w:val="FirstParagraph"/>
      </w:pPr>
      <w:r>
        <w:t xml:space="preserve">Federal systems categorize information and systems under</w:t>
      </w:r>
      <w:r>
        <w:t xml:space="preserve"> </w:t>
      </w:r>
      <w:hyperlink r:id="rId21">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2">
        <w:r>
          <w:rPr>
            <w:rStyle w:val="Hyperlink"/>
          </w:rPr>
          <w:t xml:space="preserve">NIST SP 800-60 Rev. 1</w:t>
        </w:r>
      </w:hyperlink>
      <w:r>
        <w:t xml:space="preserve"> </w:t>
      </w:r>
      <w:r>
        <w:t xml:space="preserve">(August 2008; Volume 2 lists the types). A</w:t>
      </w:r>
      <w:r>
        <w:t xml:space="preserve"> </w:t>
      </w:r>
      <w:hyperlink r:id="rId23">
        <w:r>
          <w:rPr>
            <w:rStyle w:val="Hyperlink"/>
          </w:rPr>
          <w:t xml:space="preserve">Rev. 2 initial working draft</w:t>
        </w:r>
      </w:hyperlink>
      <w:r>
        <w:t xml:space="preserve"> </w:t>
      </w:r>
      <w:r>
        <w:t xml:space="preserve">(January 2024) is not final,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005"/>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4"/>
    <w:bookmarkEnd w:id="25"/>
    <w:bookmarkStart w:id="28" w:name="risk-assessment-ra-3"/>
    <w:p>
      <w:pPr>
        <w:pStyle w:val="Heading3"/>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26">
        <w:r>
          <w:rPr>
            <w:rStyle w:val="Hyperlink"/>
          </w:rPr>
          <w:t xml:space="preserve">Risk Assessment Report template</w:t>
        </w:r>
      </w:hyperlink>
      <w:r>
        <w:t xml:space="preserve"> </w:t>
      </w:r>
      <w:r>
        <w:t xml:space="preserve">and record each risk in the</w:t>
      </w:r>
      <w:r>
        <w:t xml:space="preserve"> </w:t>
      </w:r>
      <w:hyperlink r:id="rId27">
        <w:r>
          <w:rPr>
            <w:rStyle w:val="Hyperlink"/>
          </w:rPr>
          <w:t xml:space="preserve">risk register</w:t>
        </w:r>
      </w:hyperlink>
      <w:r>
        <w:t xml:space="preserve">. Risks found here feed the plan of action and milestones (CA-5) and the risk response (RA-7).</w:t>
      </w:r>
    </w:p>
    <w:p>
      <w:pPr>
        <w:pStyle w:val="Compact"/>
        <w:numPr>
          <w:ilvl w:val="0"/>
          <w:numId w:val="1006"/>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6"/>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6"/>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6"/>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6"/>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6"/>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8"/>
    <w:bookmarkStart w:id="29" w:name="supply-chain-risk-assessment-ra-31"/>
    <w:p>
      <w:pPr>
        <w:pStyle w:val="Heading3"/>
      </w:pPr>
      <w:r>
        <w:t xml:space="preserve">Supply chain risk assessment (RA-3(1))</w:t>
      </w:r>
    </w:p>
    <w:p>
      <w:pPr>
        <w:pStyle w:val="Guidance"/>
      </w:pPr>
      <w:r>
        <w:t xml:space="preserve">The supply chain risk assessment looks at the suppliers, products and services a system depends on: where they come from, how they are built and delivered, and what happens if one fails or is compromised. It applies the organization’s supply chain risk management strategy (PM-30) and plan (SR-2) to the system.</w:t>
      </w:r>
    </w:p>
    <w:p>
      <w:pPr>
        <w:pStyle w:val="Compact"/>
        <w:numPr>
          <w:ilvl w:val="0"/>
          <w:numId w:val="1007"/>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007"/>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9"/>
    <w:bookmarkStart w:id="34" w:name="X31ac242ebdd864f1ae371123ffa1b593dcfd685"/>
    <w:p>
      <w:pPr>
        <w:pStyle w:val="Heading3"/>
      </w:pPr>
      <w:r>
        <w:t xml:space="preserve">Vulnerability monitoring and scanning (RA-5)</w:t>
      </w:r>
    </w:p>
    <w:p>
      <w:pPr>
        <w:pStyle w:val="Guidance"/>
      </w:pPr>
      <w:r>
        <w:t xml:space="preserve">Monitoring means watching for newly announced vulnerabilities that affect the system’s components; scanning means testing the components themselves. Set remediation times by risk, and move known exploited vulnerabilities to the front. A vulnerability not fixed in time becomes a plan of action and milestones item (CA-5) or an approved risk acceptance (RA-7). Standards for naming and scoring vulnerabilities include CVE, CPE and CVSS. The</w:t>
      </w:r>
      <w:r>
        <w:t xml:space="preserve"> </w:t>
      </w:r>
      <w:hyperlink r:id="rId30">
        <w:r>
          <w:rPr>
            <w:rStyle w:val="Hyperlink"/>
          </w:rPr>
          <w:t xml:space="preserve">Vulnerability Management Standard</w:t>
        </w:r>
      </w:hyperlink>
      <w:r>
        <w:t xml:space="preserve"> </w:t>
      </w:r>
      <w:r>
        <w:t xml:space="preserve">sets the coverage, frequencies and remediation times in detail.</w:t>
      </w:r>
    </w:p>
    <w:p>
      <w:pPr>
        <w:pStyle w:val="Compact"/>
        <w:numPr>
          <w:ilvl w:val="0"/>
          <w:numId w:val="1008"/>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008"/>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008"/>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008"/>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33" w:name="federal-systems-1"/>
    <w:p>
      <w:pPr>
        <w:pStyle w:val="Heading4"/>
      </w:pPr>
      <w:r>
        <w:t xml:space="preserve">Federal systems</w:t>
      </w:r>
    </w:p>
    <w:p>
      <w:pPr>
        <w:pStyle w:val="FirstParagraph"/>
      </w:pPr>
      <w:r>
        <w:t xml:space="preserve">CISA binding operational directives set minimums for federal civilian agencies (as of September 2026).</w:t>
      </w:r>
      <w:r>
        <w:t xml:space="preserve"> </w:t>
      </w:r>
      <w:hyperlink r:id="rId31">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32">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009"/>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33"/>
    <w:bookmarkEnd w:id="34"/>
    <w:bookmarkStart w:id="35" w:name="Xfe0b4acf041bc64d1ef6c767f45e266c2b44842"/>
    <w:p>
      <w:pPr>
        <w:pStyle w:val="Heading3"/>
      </w:pPr>
      <w:r>
        <w:t xml:space="preserve">Update vulnerabilities to be scanned (RA-5(2))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5"/>
    <w:bookmarkStart w:id="36" w:name="privileged-access-ra-55"/>
    <w:p>
      <w:pPr>
        <w:pStyle w:val="Heading3"/>
      </w:pPr>
      <w:r>
        <w:t xml:space="preserve">Privileged access (RA-5(5))</w:t>
      </w:r>
    </w:p>
    <w:p>
      <w:pPr>
        <w:pStyle w:val="Guidance"/>
      </w:pPr>
      <w:r>
        <w:t xml:space="preserve">Scans that log in find far more missing patches and weak settings than scans that only probe from the network. The scanning accounts are privileged accounts, so manage them under AC-2 and AC-6 like any other.</w:t>
      </w:r>
    </w:p>
    <w:p>
      <w:pPr>
        <w:pStyle w:val="Compact"/>
        <w:numPr>
          <w:ilvl w:val="0"/>
          <w:numId w:val="1011"/>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36"/>
    <w:bookmarkStart w:id="39" w:name="public-disclosure-program-ra-511"/>
    <w:p>
      <w:pPr>
        <w:pStyle w:val="Heading3"/>
      </w:pPr>
      <w:r>
        <w:t xml:space="preserve">Public disclosure program (RA-5(11))</w:t>
      </w:r>
    </w:p>
    <w:p>
      <w:pPr>
        <w:pStyle w:val="Guidance"/>
      </w:pPr>
      <w:r>
        <w:t xml:space="preserve">A public reporting channel lets researchers and others tell the organization about vulnerabilities they find. It is usually a published vulnerability disclosure policy that says which systems are in scope, how to report, what the organization will do with a report, and that good-faith research is authorized.</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8" w:name="federal-systems-2"/>
    <w:p>
      <w:pPr>
        <w:pStyle w:val="Heading4"/>
      </w:pPr>
      <w:r>
        <w:t xml:space="preserve">Federal systems</w:t>
      </w:r>
    </w:p>
    <w:p>
      <w:pPr>
        <w:pStyle w:val="FirstParagraph"/>
      </w:pPr>
      <w:hyperlink r:id="rId37">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8"/>
    <w:bookmarkEnd w:id="39"/>
    <w:bookmarkStart w:id="40" w:name="risk-response-ra-7"/>
    <w:p>
      <w:pPr>
        <w:pStyle w:val="Heading3"/>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27">
        <w:r>
          <w:rPr>
            <w:rStyle w:val="Hyperlink"/>
          </w:rPr>
          <w:t xml:space="preserve">risk register</w:t>
        </w:r>
      </w:hyperlink>
      <w:r>
        <w:t xml:space="preserve">.</w:t>
      </w:r>
    </w:p>
    <w:p>
      <w:pPr>
        <w:pStyle w:val="Compact"/>
        <w:numPr>
          <w:ilvl w:val="0"/>
          <w:numId w:val="1014"/>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14"/>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14"/>
        </w:numPr>
      </w:pPr>
      <w:r>
        <w:t xml:space="preserve">A risk to an authorized system shall be accepted only by its authorizing official, after consulting the roles the risk management strategy names for that risk level. (RA-7)</w:t>
      </w:r>
    </w:p>
    <w:bookmarkEnd w:id="40"/>
    <w:bookmarkStart w:id="41" w:name="criticality-analysis-ra-9"/>
    <w:p>
      <w:pPr>
        <w:pStyle w:val="Heading3"/>
      </w:pPr>
      <w:r>
        <w:t xml:space="preserve">Criticality analysis (RA-9)</w:t>
      </w:r>
    </w:p>
    <w:p>
      <w:pPr>
        <w:pStyle w:val="Guidance"/>
      </w:pPr>
      <w:r>
        <w:t xml:space="preserve">A criticality analysis finds the components and functions whose failure or compromise would stop the system’s mission or business functions. The results focus supply chain protections (RA-3(1), SR family) and engineering effort on what matters most.</w:t>
      </w:r>
    </w:p>
    <w:p>
      <w:pPr>
        <w:pStyle w:val="Compact"/>
        <w:numPr>
          <w:ilvl w:val="0"/>
          <w:numId w:val="1015"/>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41"/>
    <w:bookmarkEnd w:id="42"/>
    <w:bookmarkStart w:id="46"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16"/>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45"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3">
        <w:r>
          <w:rPr>
            <w:rStyle w:val="Hyperlink"/>
          </w:rPr>
          <w:t xml:space="preserve">44 U.S.C. § 3554</w:t>
        </w:r>
      </w:hyperlink>
      <w:r>
        <w:t xml:space="preserve">, Federal agency responsibilities) and</w:t>
      </w:r>
      <w:r>
        <w:t xml:space="preserve"> </w:t>
      </w:r>
      <w:hyperlink r:id="rId44">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(RA-1a.1(b))</w:t>
      </w:r>
    </w:p>
    <w:bookmarkEnd w:id="45"/>
    <w:bookmarkEnd w:id="46"/>
    <w:bookmarkEnd w:id="4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199/final" TargetMode="External" /><Relationship Type="http://schemas.openxmlformats.org/officeDocument/2006/relationships/hyperlink" Id="rId23" Target="https://csrc.nist.gov/pubs/sp/800/60/r2/iwd" TargetMode="External" /><Relationship Type="http://schemas.openxmlformats.org/officeDocument/2006/relationships/hyperlink" Id="rId22" Target="https://csrc.nist.gov/pubs/sp/800/60/v1/r1/final"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19" Target="https://kston83.github.io/nist-guide/templates/forms/security-categorization-worksheet/" TargetMode="External" /><Relationship Type="http://schemas.openxmlformats.org/officeDocument/2006/relationships/hyperlink" Id="rId20" Target="https://kston83.github.io/nist-guide/templates/plans/system-security-plan/"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kston83.github.io/nist-guide/templates/reports/risk-assessment-report/" TargetMode="External" /><Relationship Type="http://schemas.openxmlformats.org/officeDocument/2006/relationships/hyperlink" Id="rId30" Target="https://kston83.github.io/nist-guide/templates/standards/vulnerability-management-standard/" TargetMode="External" /><Relationship Type="http://schemas.openxmlformats.org/officeDocument/2006/relationships/hyperlink" Id="rId43" Target="https://uscode.house.gov/view.xhtml?req=granuleid:USC-prelim-title44-section3554&amp;num=0&amp;edition=prelim" TargetMode="External" /><Relationship Type="http://schemas.openxmlformats.org/officeDocument/2006/relationships/hyperlink" Id="rId37" Target="https://www.cisa.gov/news-events/directives/bod-20-01-develop-and-publish-vulnerability-disclosure-policy" TargetMode="External" /><Relationship Type="http://schemas.openxmlformats.org/officeDocument/2006/relationships/hyperlink" Id="rId32" Target="https://www.cisa.gov/news-events/directives/bod-23-01-improving-asset-visibility-and-vulnerability-detection-federal-networks" TargetMode="External" /><Relationship Type="http://schemas.openxmlformats.org/officeDocument/2006/relationships/hyperlink" Id="rId31" Target="https://www.cisa.gov/news-events/directives/bod-26-04-prioritizing-security-updates-based-risk" TargetMode="External" /><Relationship Type="http://schemas.openxmlformats.org/officeDocument/2006/relationships/hyperlink" Id="rId44"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199/final" TargetMode="External" /><Relationship Type="http://schemas.openxmlformats.org/officeDocument/2006/relationships/hyperlink" Id="rId23" Target="https://csrc.nist.gov/pubs/sp/800/60/r2/iwd" TargetMode="External" /><Relationship Type="http://schemas.openxmlformats.org/officeDocument/2006/relationships/hyperlink" Id="rId22" Target="https://csrc.nist.gov/pubs/sp/800/60/v1/r1/final" TargetMode="External" /><Relationship Type="http://schemas.openxmlformats.org/officeDocument/2006/relationships/hyperlink" Id="rId27" Target="https://kston83.github.io/nist-guide/templates/forms/risk-register/" TargetMode="External" /><Relationship Type="http://schemas.openxmlformats.org/officeDocument/2006/relationships/hyperlink" Id="rId19" Target="https://kston83.github.io/nist-guide/templates/forms/security-categorization-worksheet/" TargetMode="External" /><Relationship Type="http://schemas.openxmlformats.org/officeDocument/2006/relationships/hyperlink" Id="rId20" Target="https://kston83.github.io/nist-guide/templates/plans/system-security-plan/"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kston83.github.io/nist-guide/templates/reports/risk-assessment-report/" TargetMode="External" /><Relationship Type="http://schemas.openxmlformats.org/officeDocument/2006/relationships/hyperlink" Id="rId30" Target="https://kston83.github.io/nist-guide/templates/standards/vulnerability-management-standard/" TargetMode="External" /><Relationship Type="http://schemas.openxmlformats.org/officeDocument/2006/relationships/hyperlink" Id="rId43" Target="https://uscode.house.gov/view.xhtml?req=granuleid:USC-prelim-title44-section3554&amp;num=0&amp;edition=prelim" TargetMode="External" /><Relationship Type="http://schemas.openxmlformats.org/officeDocument/2006/relationships/hyperlink" Id="rId37" Target="https://www.cisa.gov/news-events/directives/bod-20-01-develop-and-publish-vulnerability-disclosure-policy" TargetMode="External" /><Relationship Type="http://schemas.openxmlformats.org/officeDocument/2006/relationships/hyperlink" Id="rId32" Target="https://www.cisa.gov/news-events/directives/bod-23-01-improving-asset-visibility-and-vulnerability-detection-federal-networks" TargetMode="External" /><Relationship Type="http://schemas.openxmlformats.org/officeDocument/2006/relationships/hyperlink" Id="rId31" Target="https://www.cisa.gov/news-events/directives/bod-26-04-prioritizing-security-updates-based-risk" TargetMode="External" /><Relationship Type="http://schemas.openxmlformats.org/officeDocument/2006/relationships/hyperlink" Id="rId44"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