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risk-assessment-policy"/>
    <w:p>
      <w:pPr>
        <w:pStyle w:val="Heading1"/>
      </w:pPr>
      <w:r>
        <w:t xml:space="preserve">Risk Assessment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https://kston83.github.io/nist-guide/templates/policies/ra/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RA-1,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RA-1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Risk Assessment, and who is accountable for meeting those requirements. (RA-1a.1(a))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(RA-1a.1(a))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(RA-1a.1(a))</w:t>
      </w:r>
    </w:p>
    <w:p>
      <w:pPr>
        <w:pStyle w:val="Compact"/>
        <w:numPr>
          <w:ilvl w:val="0"/>
          <w:numId w:val="1001"/>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manage the development, documentation and dissemination of this policy and its procedures. (RA-1b)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(RA-1a.1(a))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(RA-1a.1(a))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(RA-1a.1(a))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(RA-1a.1(a))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(RA-1a.1(b))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(RA-1a.1(a))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(RA-1a.1(a))</w:t>
      </w:r>
    </w:p>
    <w:p>
      <w:pPr>
        <w:pStyle w:val="Compact"/>
        <w:numPr>
          <w:ilvl w:val="0"/>
          <w:numId w:val="1002"/>
        </w:numPr>
      </w:pPr>
      <w:r>
        <w:t xml:space="preserve">Violations of this policy shall be handled through the organization’s sanctions process. (RA-1a.1(a))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ensure that documented procedures exist to implement this policy and its associated controls. (RA-1a.2)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this policy to</w:t>
      </w:r>
      <w:r>
        <w:t xml:space="preserve"> </w:t>
      </w:r>
      <w:r>
        <w:rPr>
          <w:rStyle w:val="Fill-in"/>
        </w:rPr>
        <w:t xml:space="preserve">[Fill in: personnel or roles to whom the risk assessment policy is to be disseminated. Typical: everyone within its scope, through the policy library]</w:t>
      </w:r>
      <w:r>
        <w:t xml:space="preserve">. (RA-1a)</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risk assessment procedures are to be disseminated. Typical: the people who carry them out, and the system owners]</w:t>
      </w:r>
      <w:r>
        <w:t xml:space="preserve">. (RA-1a)</w:t>
      </w:r>
    </w:p>
    <w:bookmarkEnd w:id="18"/>
    <w:bookmarkStart w:id="28"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1" w:name="risk-assessment-ra-3"/>
    <w:p>
      <w:pPr>
        <w:pStyle w:val="Heading3"/>
      </w:pPr>
      <w:r>
        <w:t xml:space="preserve">Risk assessment (RA-3)</w:t>
      </w:r>
    </w:p>
    <w:p>
      <w:pPr>
        <w:pStyle w:val="Guidance"/>
      </w:pPr>
      <w:r>
        <w:t xml:space="preserve">A system risk assessment identifies threats and vulnerabilities, then estimates the likelihood and impact of harm, to the organization and, where the system processes personally identifiable information, to individuals. Use the method and scales the risk management strategy sets (PM-9, PM-28), so results from different systems can be compared. NIST SP 800-30 Rev. 1 is the usual reference for the method. Start from the</w:t>
      </w:r>
      <w:r>
        <w:t xml:space="preserve"> </w:t>
      </w:r>
      <w:hyperlink r:id="rId19">
        <w:r>
          <w:rPr>
            <w:rStyle w:val="Hyperlink"/>
          </w:rPr>
          <w:t xml:space="preserve">Risk Assessment Report template</w:t>
        </w:r>
      </w:hyperlink>
      <w:r>
        <w:t xml:space="preserve"> </w:t>
      </w:r>
      <w:r>
        <w:t xml:space="preserve">and record each risk in the</w:t>
      </w:r>
      <w:r>
        <w:t xml:space="preserve"> </w:t>
      </w:r>
      <w:hyperlink r:id="rId20">
        <w:r>
          <w:rPr>
            <w:rStyle w:val="Hyperlink"/>
          </w:rPr>
          <w:t xml:space="preserve">risk register</w:t>
        </w:r>
      </w:hyperlink>
      <w:r>
        <w:t xml:space="preserve">. Risks found here feed the plan of action and milestones (CA-5) and the risk response (RA-7).</w:t>
      </w:r>
    </w:p>
    <w:p>
      <w:pPr>
        <w:pStyle w:val="Compact"/>
        <w:numPr>
          <w:ilvl w:val="0"/>
          <w:numId w:val="1004"/>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004"/>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004"/>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004"/>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004"/>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004"/>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004"/>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21"/>
    <w:bookmarkStart w:id="22" w:name="risk-response-ra-7"/>
    <w:p>
      <w:pPr>
        <w:pStyle w:val="Heading3"/>
      </w:pPr>
      <w:r>
        <w:t xml:space="preserve">Risk response (RA-7)</w:t>
      </w:r>
    </w:p>
    <w:p>
      <w:pPr>
        <w:pStyle w:val="Guidance"/>
      </w:pPr>
      <w:r>
        <w:t xml:space="preserve">Every finding from an assessment, monitoring or audit needs a decision: fix it, avoid it, share or transfer it, or accept it. The risk management strategy sets the organization’s risk tolerance and the roles the authorizing official consults before accepting risk at each level (PM-9, PM-28). Fixes that take time go in the plan of action and milestones (CA-5); every response, including acceptance, goes in the</w:t>
      </w:r>
      <w:r>
        <w:t xml:space="preserve"> </w:t>
      </w:r>
      <w:hyperlink r:id="rId20">
        <w:r>
          <w:rPr>
            <w:rStyle w:val="Hyperlink"/>
          </w:rPr>
          <w:t xml:space="preserve">risk register</w:t>
        </w:r>
      </w:hyperlink>
      <w:r>
        <w:t xml:space="preserve">.</w:t>
      </w:r>
    </w:p>
    <w:p>
      <w:pPr>
        <w:pStyle w:val="Compact"/>
        <w:numPr>
          <w:ilvl w:val="0"/>
          <w:numId w:val="1005"/>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005"/>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005"/>
        </w:numPr>
      </w:pPr>
      <w:r>
        <w:t xml:space="preserve">A risk to an authorized system shall be accepted only by its authorizing official, after consulting the roles the risk management strategy names for that risk level. (RA-7)</w:t>
      </w:r>
    </w:p>
    <w:bookmarkEnd w:id="22"/>
    <w:bookmarkStart w:id="27" w:name="privacy-impact-assessments-ra-8"/>
    <w:p>
      <w:pPr>
        <w:pStyle w:val="Heading3"/>
      </w:pPr>
      <w:r>
        <w:t xml:space="preserve">Privacy impact assessments (RA-8)</w:t>
      </w:r>
    </w:p>
    <w:p>
      <w:pPr>
        <w:pStyle w:val="Guidance"/>
      </w:pPr>
      <w:r>
        <w:t xml:space="preserve">A privacy impact assessment looks at what personally identifiable information a system or activity collects, why, how it is used, shared and protected, and what risks that creates for individuals. Do it early, while the design can still change, and update it when the processing changes. The</w:t>
      </w:r>
      <w:r>
        <w:t xml:space="preserve"> </w:t>
      </w:r>
      <w:hyperlink r:id="rId23">
        <w:r>
          <w:rPr>
            <w:rStyle w:val="Hyperlink"/>
          </w:rPr>
          <w:t xml:space="preserve">privacy impact assessment template</w:t>
        </w:r>
      </w:hyperlink>
      <w:r>
        <w:t xml:space="preserve"> </w:t>
      </w:r>
      <w:r>
        <w:t xml:space="preserve">starts with a short screening and covers each question section 208(b) of the E-Government Act lists. RA-8 is in the Privacy baseline only.</w:t>
      </w:r>
    </w:p>
    <w:p>
      <w:pPr>
        <w:pStyle w:val="Compact"/>
        <w:numPr>
          <w:ilvl w:val="0"/>
          <w:numId w:val="1006"/>
        </w:numPr>
      </w:pPr>
      <w:r>
        <w:t xml:space="preserve">The</w:t>
      </w:r>
      <w:r>
        <w:t xml:space="preserve"> </w:t>
      </w:r>
      <w:r>
        <w:rPr>
          <w:rStyle w:val="Fill-in"/>
        </w:rPr>
        <w:t xml:space="preserve">[System owner]</w:t>
      </w:r>
      <w:r>
        <w:t xml:space="preserve"> </w:t>
      </w:r>
      <w:r>
        <w:t xml:space="preserve">shall have a privacy impact assessment conducted before developing or procuring information technology that processes personally identifiable information. (RA-8a)</w:t>
      </w:r>
    </w:p>
    <w:p>
      <w:pPr>
        <w:pStyle w:val="Compact"/>
        <w:numPr>
          <w:ilvl w:val="0"/>
          <w:numId w:val="1006"/>
        </w:numPr>
      </w:pPr>
      <w:r>
        <w:t xml:space="preserve">The</w:t>
      </w:r>
      <w:r>
        <w:t xml:space="preserve"> </w:t>
      </w:r>
      <w:r>
        <w:rPr>
          <w:rStyle w:val="Fill-in"/>
        </w:rPr>
        <w:t xml:space="preserve">[System owner]</w:t>
      </w:r>
      <w:r>
        <w:t xml:space="preserve"> </w:t>
      </w:r>
      <w:r>
        <w:t xml:space="preserve">shall have a privacy impact assessment conducted before initiating a new collection of personally identifiable information that will be processed using information technology. (RA-8b)</w:t>
      </w:r>
    </w:p>
    <w:p>
      <w:pPr>
        <w:pStyle w:val="Compact"/>
        <w:numPr>
          <w:ilvl w:val="0"/>
          <w:numId w:val="1006"/>
        </w:numPr>
      </w:pPr>
      <w:r>
        <w:t xml:space="preserve">The</w:t>
      </w:r>
      <w:r>
        <w:t xml:space="preserve"> </w:t>
      </w:r>
      <w:r>
        <w:rPr>
          <w:rStyle w:val="Fill-in"/>
        </w:rPr>
        <w:t xml:space="preserve">[Senior privacy official]</w:t>
      </w:r>
      <w:r>
        <w:t xml:space="preserve"> </w:t>
      </w:r>
      <w:r>
        <w:t xml:space="preserve">shall review and approve each privacy impact assessment. (RA-8)</w:t>
      </w:r>
    </w:p>
    <w:p>
      <w:pPr>
        <w:pStyle w:val="Compact"/>
        <w:numPr>
          <w:ilvl w:val="0"/>
          <w:numId w:val="1006"/>
        </w:numPr>
      </w:pPr>
      <w:r>
        <w:t xml:space="preserve">The</w:t>
      </w:r>
      <w:r>
        <w:t xml:space="preserve"> </w:t>
      </w:r>
      <w:r>
        <w:rPr>
          <w:rStyle w:val="Fill-in"/>
        </w:rPr>
        <w:t xml:space="preserve">[System owner]</w:t>
      </w:r>
      <w:r>
        <w:t xml:space="preserve"> </w:t>
      </w:r>
      <w:r>
        <w:t xml:space="preserve">shall update the privacy impact assessment when a change to the system or the processing creates new privacy risks. (RA-8)</w:t>
      </w:r>
    </w:p>
    <w:bookmarkStart w:id="26" w:name="federal-systems"/>
    <w:p>
      <w:pPr>
        <w:pStyle w:val="Heading4"/>
      </w:pPr>
      <w:r>
        <w:t xml:space="preserve">Federal systems</w:t>
      </w:r>
    </w:p>
    <w:p>
      <w:pPr>
        <w:pStyle w:val="FirstParagraph"/>
      </w:pPr>
      <w:hyperlink r:id="rId24">
        <w:r>
          <w:rPr>
            <w:rStyle w:val="Hyperlink"/>
          </w:rPr>
          <w:t xml:space="preserve">Section 208(b) of the E-Government Act of 2002</w:t>
        </w:r>
      </w:hyperlink>
      <w:r>
        <w:t xml:space="preserve"> </w:t>
      </w:r>
      <w:r>
        <w:t xml:space="preserve">(Pub. L. 107-347) requires agencies to conduct a privacy impact assessment before developing or procuring information technology that collects, maintains or disseminates information in identifiable form, and before initiating a new collection of such information that uses information technology and poses identical questions to 10 or more persons other than agencies, instrumentalities or employees of the Federal Government. The Chief Information Officer, or an equivalent official the agency head names, reviews each assessment, which is then made public where practicable.</w:t>
      </w:r>
      <w:r>
        <w:t xml:space="preserve"> </w:t>
      </w:r>
      <w:hyperlink r:id="rId25">
        <w:r>
          <w:rPr>
            <w:rStyle w:val="Hyperlink"/>
          </w:rPr>
          <w:t xml:space="preserve">OMB Circular A-130</w:t>
        </w:r>
      </w:hyperlink>
      <w:r>
        <w:t xml:space="preserve"> </w:t>
      </w:r>
      <w:r>
        <w:t xml:space="preserve">(July 28, 2016), Appendix II, carries the requirement into agency privacy programs.</w:t>
      </w:r>
    </w:p>
    <w:p>
      <w:pPr>
        <w:pStyle w:val="Compact"/>
        <w:numPr>
          <w:ilvl w:val="0"/>
          <w:numId w:val="1007"/>
        </w:numPr>
      </w:pPr>
      <w:r>
        <w:t xml:space="preserve">The</w:t>
      </w:r>
      <w:r>
        <w:t xml:space="preserve"> </w:t>
      </w:r>
      <w:r>
        <w:rPr>
          <w:rStyle w:val="Fill-in"/>
        </w:rPr>
        <w:t xml:space="preserve">[System owner]</w:t>
      </w:r>
      <w:r>
        <w:t xml:space="preserve"> </w:t>
      </w:r>
      <w:r>
        <w:t xml:space="preserve">shall have a privacy impact assessment conducted whenever section 208(b) of the E-Government Act of 2002 requires one. (RA-8)</w:t>
      </w:r>
    </w:p>
    <w:p>
      <w:pPr>
        <w:pStyle w:val="Compact"/>
        <w:numPr>
          <w:ilvl w:val="0"/>
          <w:numId w:val="1007"/>
        </w:numPr>
      </w:pPr>
      <w:r>
        <w:t xml:space="preserve">The</w:t>
      </w:r>
      <w:r>
        <w:t xml:space="preserve"> </w:t>
      </w:r>
      <w:r>
        <w:rPr>
          <w:rStyle w:val="Fill-in"/>
        </w:rPr>
        <w:t xml:space="preserve">[Senior privacy official]</w:t>
      </w:r>
      <w:r>
        <w:t xml:space="preserve"> </w:t>
      </w:r>
      <w:r>
        <w:t xml:space="preserve">shall make each privacy impact assessment publicly available, where practicable, as section 208(b) requires. (RA-8)</w:t>
      </w:r>
    </w:p>
    <w:bookmarkEnd w:id="26"/>
    <w:bookmarkEnd w:id="27"/>
    <w:bookmarkEnd w:id="28"/>
    <w:bookmarkStart w:id="31" w:name="review-and-update"/>
    <w:p>
      <w:pPr>
        <w:pStyle w:val="Heading2"/>
      </w:pPr>
      <w:r>
        <w:t xml:space="preserve">Review and update</w:t>
      </w:r>
    </w:p>
    <w:p>
      <w:pPr>
        <w:pStyle w:val="Compact"/>
        <w:numPr>
          <w:ilvl w:val="0"/>
          <w:numId w:val="1008"/>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risk assessment policy is reviewed and updated. Typical: annually]</w:t>
      </w:r>
      <w:r>
        <w:t xml:space="preserve"> </w:t>
      </w:r>
      <w:r>
        <w:t xml:space="preserve">and following</w:t>
      </w:r>
      <w:r>
        <w:t xml:space="preserve"> </w:t>
      </w:r>
      <w:r>
        <w:rPr>
          <w:rStyle w:val="Fill-in"/>
        </w:rPr>
        <w:t xml:space="preserve">[Fill in: events that would require the current risk assessment policy to be reviewed and updated. Typical: assessment or audit findings, security incidents or breaches, and changes in applicable laws, executive orders, directives, regulations, policies, standards or guidelines]</w:t>
      </w:r>
      <w:r>
        <w:t xml:space="preserve">. (RA-1c.1)</w:t>
      </w:r>
    </w:p>
    <w:p>
      <w:pPr>
        <w:pStyle w:val="Compact"/>
        <w:numPr>
          <w:ilvl w:val="0"/>
          <w:numId w:val="1008"/>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risk assessment procedures are reviewed and updated. Typical: annually]</w:t>
      </w:r>
      <w:r>
        <w:t xml:space="preserve"> </w:t>
      </w:r>
      <w:r>
        <w:t xml:space="preserve">and following</w:t>
      </w:r>
      <w:r>
        <w:t xml:space="preserve"> </w:t>
      </w:r>
      <w:r>
        <w:rPr>
          <w:rStyle w:val="Fill-in"/>
        </w:rPr>
        <w:t xml:space="preserve">[Fill in: events that would require risk assessment procedures to be reviewed and updated. Typical: the same events as the policy, and changes to the systems, tools or services the procedures describe]</w:t>
      </w:r>
      <w:r>
        <w:t xml:space="preserve">. (RA-1c.2)</w:t>
      </w:r>
    </w:p>
    <w:bookmarkStart w:id="30"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9">
        <w:r>
          <w:rPr>
            <w:rStyle w:val="Hyperlink"/>
          </w:rPr>
          <w:t xml:space="preserve">44 U.S.C. § 3554</w:t>
        </w:r>
      </w:hyperlink>
      <w:r>
        <w:t xml:space="preserve">, Federal agency responsibilities) and</w:t>
      </w:r>
      <w:r>
        <w:t xml:space="preserve"> </w:t>
      </w:r>
      <w:hyperlink r:id="rId25">
        <w:r>
          <w:rPr>
            <w:rStyle w:val="Hyperlink"/>
          </w:rPr>
          <w:t xml:space="preserve">OMB Circular A-130</w:t>
        </w:r>
      </w:hyperlink>
      <w:r>
        <w:t xml:space="preserve">, Appendix I, Responsibilities for Protecting and Managing Federal Information Resources.</w:t>
      </w:r>
    </w:p>
    <w:p>
      <w:pPr>
        <w:pStyle w:val="Compact"/>
        <w:numPr>
          <w:ilvl w:val="0"/>
          <w:numId w:val="1009"/>
        </w:numPr>
      </w:pPr>
      <w:r>
        <w:t xml:space="preserve">Where the agency’s organization-wide policy sets a value for a parameter in this policy, each system shall use that value or a stricter one. (RA-1a.1(b))</w:t>
      </w:r>
    </w:p>
    <w:bookmarkEnd w:id="30"/>
    <w:bookmarkEnd w:id="31"/>
    <w:bookmarkEnd w:id="3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Risk Assessment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0" Target="https://kston83.github.io/nist-guide/templates/forms/risk-register/" TargetMode="External" /><Relationship Type="http://schemas.openxmlformats.org/officeDocument/2006/relationships/hyperlink" Id="rId9" Target="https://kston83.github.io/nist-guide/templates/policies/ra/" TargetMode="External" /><Relationship Type="http://schemas.openxmlformats.org/officeDocument/2006/relationships/hyperlink" Id="rId23" Target="https://kston83.github.io/nist-guide/templates/reports/privacy-impact-assessment/" TargetMode="External" /><Relationship Type="http://schemas.openxmlformats.org/officeDocument/2006/relationships/hyperlink" Id="rId19" Target="https://kston83.github.io/nist-guide/templates/reports/risk-assessment-report/" TargetMode="External" /><Relationship Type="http://schemas.openxmlformats.org/officeDocument/2006/relationships/hyperlink" Id="rId29" Target="https://uscode.house.gov/view.xhtml?req=granuleid:USC-prelim-title44-section3554&amp;num=0&amp;edition=prelim" TargetMode="External" /><Relationship Type="http://schemas.openxmlformats.org/officeDocument/2006/relationships/hyperlink" Id="rId24" Target="https://www.congress.gov/107/plaws/publ347/PLAW-107publ347.htm" TargetMode="External" /><Relationship Type="http://schemas.openxmlformats.org/officeDocument/2006/relationships/hyperlink" Id="rId2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0" Target="https://kston83.github.io/nist-guide/templates/forms/risk-register/" TargetMode="External" /><Relationship Type="http://schemas.openxmlformats.org/officeDocument/2006/relationships/hyperlink" Id="rId9" Target="https://kston83.github.io/nist-guide/templates/policies/ra/" TargetMode="External" /><Relationship Type="http://schemas.openxmlformats.org/officeDocument/2006/relationships/hyperlink" Id="rId23" Target="https://kston83.github.io/nist-guide/templates/reports/privacy-impact-assessment/" TargetMode="External" /><Relationship Type="http://schemas.openxmlformats.org/officeDocument/2006/relationships/hyperlink" Id="rId19" Target="https://kston83.github.io/nist-guide/templates/reports/risk-assessment-report/" TargetMode="External" /><Relationship Type="http://schemas.openxmlformats.org/officeDocument/2006/relationships/hyperlink" Id="rId29" Target="https://uscode.house.gov/view.xhtml?req=granuleid:USC-prelim-title44-section3554&amp;num=0&amp;edition=prelim" TargetMode="External" /><Relationship Type="http://schemas.openxmlformats.org/officeDocument/2006/relationships/hyperlink" Id="rId24" Target="https://www.congress.gov/107/plaws/publ347/PLAW-107publ347.htm" TargetMode="External" /><Relationship Type="http://schemas.openxmlformats.org/officeDocument/2006/relationships/hyperlink" Id="rId2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