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5" w:name="system-and-services-acquisition-policy"/>
    <w:p>
      <w:pPr>
        <w:pStyle w:val="Heading1"/>
      </w:pPr>
      <w:r>
        <w:t xml:space="preserve">System and Services Acquisition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Services Acquisition, and who is accountable for meeting those requirements. (SA-1a.1(a))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(SA-1a.1(a))</w:t>
      </w:r>
    </w:p>
    <w:p>
      <w:pPr>
        <w:pStyle w:val="Compact"/>
        <w:numPr>
          <w:ilvl w:val="0"/>
          <w:numId w:val="1001"/>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manage the development, documentation and dissemination of this policy and its procedures. (SA-1b)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(SA-1a.1(a))</w:t>
      </w:r>
    </w:p>
    <w:p>
      <w:pPr>
        <w:pStyle w:val="Compact"/>
        <w:numPr>
          <w:ilvl w:val="0"/>
          <w:numId w:val="1002"/>
        </w:numPr>
      </w:pPr>
      <w:r>
        <w:t xml:space="preserve">Violations of this policy shall be handled through the organization’s sanctions process. (SA-1a.1(a))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ensure that documented procedures exist to implement this policy and its associated controls. (SA-1a.2)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services acquisition policy is to be disseminated. Typical: everyone within its scope, through the policy library]</w:t>
      </w:r>
      <w:r>
        <w:t xml:space="preserve">. (SA-1a)</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services acquisition procedures are to be disseminated. Typical: the people who carry them out, and the system owners]</w:t>
      </w:r>
      <w:r>
        <w:t xml:space="preserve">. (SA-1a)</w:t>
      </w:r>
    </w:p>
    <w:bookmarkEnd w:id="18"/>
    <w:bookmarkStart w:id="61"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1" w:name="allocation-of-resources-sa-2"/>
    <w:p>
      <w:pPr>
        <w:pStyle w:val="Heading3"/>
      </w:pPr>
      <w:r>
        <w:t xml:space="preserve">Allocation of resources (SA-2)</w:t>
      </w:r>
    </w:p>
    <w:p>
      <w:pPr>
        <w:pStyle w:val="Guidance"/>
      </w:pPr>
      <w:r>
        <w:t xml:space="preserve">SA-2 makes security and privacy part of the business case for each system, not a cost found later. NIST’s SA-2 discussion includes funding for acquisition, sustainment and supply chain risk across the whole life cycle. Evidence is the requirements in the planning documents and a separate security and privacy line in the budget request; the organization-wide side of this is PM-3.</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004"/>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20" w:name="federal-systems"/>
    <w:p>
      <w:pPr>
        <w:pStyle w:val="Heading4"/>
      </w:pPr>
      <w:r>
        <w:t xml:space="preserve">Federal systems</w:t>
      </w:r>
    </w:p>
    <w:p>
      <w:pPr>
        <w:pStyle w:val="FirstParagraph"/>
      </w:pPr>
      <w:hyperlink r:id="rId19">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005"/>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20"/>
    <w:bookmarkEnd w:id="21"/>
    <w:bookmarkStart w:id="24" w:name="system-development-life-cycle-sa-3"/>
    <w:p>
      <w:pPr>
        <w:pStyle w:val="Heading3"/>
      </w:pPr>
      <w:r>
        <w:t xml:space="preserve">System development life cycle (SA-3)</w:t>
      </w:r>
    </w:p>
    <w:p>
      <w:pPr>
        <w:pStyle w:val="Guidance"/>
      </w:pPr>
      <w:r>
        <w:t xml:space="preserve">The system development life cycle (SDLC) is where the Risk Management Framework’s tasks happen: NIST SP 800-37 Rev. 2 (</w:t>
      </w:r>
      <w:hyperlink r:id="rId22">
        <w:r>
          <w:rPr>
            <w:rStyle w:val="Hyperlink"/>
          </w:rPr>
          <w:t xml:space="preserve">December 2018</w:t>
        </w:r>
      </w:hyperlink>
      <w:r>
        <w:t xml:space="preserve">, current as of September 2026) ties each RMF task to an SDLC phase, using the phase names in the typical value. NIST’s SA-3 discussion calls for qualified security and privacy staff in SDLC processes and role-based training for them (AT-3). SA-3 leaves the life cycle model to the organization, iterative or sequential; what an assessor checks is that each phase has defined security and privacy activities and someone accountable for them.</w:t>
      </w:r>
    </w:p>
    <w:p>
      <w:pPr>
        <w:pStyle w:val="Compact"/>
        <w:numPr>
          <w:ilvl w:val="0"/>
          <w:numId w:val="1006"/>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006"/>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23" w:name="federal-systems-1"/>
    <w:p>
      <w:pPr>
        <w:pStyle w:val="Heading4"/>
      </w:pPr>
      <w:r>
        <w:t xml:space="preserve">Federal systems</w:t>
      </w:r>
    </w:p>
    <w:p>
      <w:pPr>
        <w:pStyle w:val="FirstParagraph"/>
      </w:pPr>
      <w:hyperlink r:id="rId19">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23"/>
    <w:bookmarkEnd w:id="24"/>
    <w:bookmarkStart w:id="29" w:name="acquisition-process-sa-4"/>
    <w:p>
      <w:pPr>
        <w:pStyle w:val="Heading3"/>
      </w:pPr>
      <w:r>
        <w:t xml:space="preserve">Acquisition process (SA-4)</w:t>
      </w:r>
    </w:p>
    <w:p>
      <w:pPr>
        <w:pStyle w:val="Guidance"/>
      </w:pPr>
      <w:r>
        <w:t xml:space="preserve">SA-4 puts the security and privacy requirements into the contract, where a supplier is bound by them. NIST’s SA-4 discussion derives the functional requirements from the high-level requirements set under SA-2, and points to NIST SP 800-160 Vol. 1 Rev. 1, Engineering Trustworthy Secure Systems (</w:t>
      </w:r>
      <w:hyperlink r:id="rId25">
        <w:r>
          <w:rPr>
            <w:rStyle w:val="Hyperlink"/>
          </w:rPr>
          <w:t xml:space="preserve">November 2022</w:t>
        </w:r>
      </w:hyperlink>
      <w:r>
        <w:t xml:space="preserve">, current as of September 2026), for requirements engineering. Standard clauses keep contracts consistent; each acquisition still needs its own requirements, controls and acceptance criteria. Assessors sample recent contracts for a system and check each item a to i is present, in the text or by reference. The</w:t>
      </w:r>
      <w:r>
        <w:t xml:space="preserve"> </w:t>
      </w:r>
      <w:hyperlink r:id="rId26">
        <w:r>
          <w:rPr>
            <w:rStyle w:val="Hyperlink"/>
          </w:rPr>
          <w:t xml:space="preserve">acquisition security requirements</w:t>
        </w:r>
      </w:hyperlink>
      <w:r>
        <w:t xml:space="preserve"> </w:t>
      </w:r>
      <w:r>
        <w:t xml:space="preserve">standard gives the standard contract requirements and the checklist for the solicitation review.</w:t>
      </w:r>
    </w:p>
    <w:p>
      <w:pPr>
        <w:pStyle w:val="Compact"/>
        <w:numPr>
          <w:ilvl w:val="0"/>
          <w:numId w:val="1008"/>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008"/>
        </w:numPr>
      </w:pPr>
      <w:r>
        <w:t xml:space="preserve">The contract shall state the security and privacy functional requirements. (SA-4a)</w:t>
      </w:r>
    </w:p>
    <w:p>
      <w:pPr>
        <w:pStyle w:val="Compact"/>
        <w:numPr>
          <w:ilvl w:val="0"/>
          <w:numId w:val="1008"/>
        </w:numPr>
      </w:pPr>
      <w:r>
        <w:t xml:space="preserve">The contract shall state the strength of mechanism requirements, such as resistance to tampering, bypass and direct attack. (SA-4b)</w:t>
      </w:r>
    </w:p>
    <w:p>
      <w:pPr>
        <w:pStyle w:val="Compact"/>
        <w:numPr>
          <w:ilvl w:val="0"/>
          <w:numId w:val="1008"/>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008"/>
        </w:numPr>
      </w:pPr>
      <w:r>
        <w:t xml:space="preserve">The contract shall state the controls needed to satisfy the security and privacy requirements, with any control parameter values the supplier must meet. (SA-4d)</w:t>
      </w:r>
    </w:p>
    <w:p>
      <w:pPr>
        <w:pStyle w:val="Compact"/>
        <w:numPr>
          <w:ilvl w:val="0"/>
          <w:numId w:val="1008"/>
        </w:numPr>
      </w:pPr>
      <w:r>
        <w:t xml:space="preserve">The contract shall state the security and privacy documentation requirements (SA-5). (SA-4e)</w:t>
      </w:r>
    </w:p>
    <w:p>
      <w:pPr>
        <w:pStyle w:val="Compact"/>
        <w:numPr>
          <w:ilvl w:val="0"/>
          <w:numId w:val="1008"/>
        </w:numPr>
      </w:pPr>
      <w:r>
        <w:t xml:space="preserve">The contract shall state the requirements for protecting security and privacy documentation. (SA-4f)</w:t>
      </w:r>
    </w:p>
    <w:p>
      <w:pPr>
        <w:pStyle w:val="Compact"/>
        <w:numPr>
          <w:ilvl w:val="0"/>
          <w:numId w:val="1008"/>
        </w:numPr>
      </w:pPr>
      <w:r>
        <w:t xml:space="preserve">The contract shall describe the system development environment and the environment in which the system is intended to operate. (SA-4g)</w:t>
      </w:r>
    </w:p>
    <w:p>
      <w:pPr>
        <w:pStyle w:val="Compact"/>
        <w:numPr>
          <w:ilvl w:val="0"/>
          <w:numId w:val="1008"/>
        </w:numPr>
      </w:pPr>
      <w:r>
        <w:t xml:space="preserve">The contract shall allocate responsibility for, or identify the parties responsible for, information security, privacy and supply chain risk management. (SA-4h)</w:t>
      </w:r>
    </w:p>
    <w:p>
      <w:pPr>
        <w:pStyle w:val="Compact"/>
        <w:numPr>
          <w:ilvl w:val="0"/>
          <w:numId w:val="1008"/>
        </w:numPr>
      </w:pPr>
      <w:r>
        <w:t xml:space="preserve">The contract shall state the acceptance criteria for the system, component or service. (SA-4i)</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p>
      <w:pPr>
        <w:pStyle w:val="Guidance"/>
      </w:pPr>
      <w:r>
        <w:t xml:space="preserve">NIST’s SA-4 discussion also suggests other requirements that support security and operations: the responsibilities of the organization and the developer, and notice and timing for support, maintenance and updates. Add the time within which a supplier must report an incident or a vulnerability in its product, and how long it will provide security updates, since both drive IR-6 and SA-22.</w:t>
      </w:r>
    </w:p>
    <w:bookmarkStart w:id="28" w:name="federal-systems-2"/>
    <w:p>
      <w:pPr>
        <w:pStyle w:val="Heading4"/>
      </w:pPr>
      <w:r>
        <w:t xml:space="preserve">Federal systems</w:t>
      </w:r>
    </w:p>
    <w:p>
      <w:pPr>
        <w:pStyle w:val="FirstParagraph"/>
      </w:pPr>
      <w:hyperlink r:id="rId19">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27">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28"/>
    <w:bookmarkEnd w:id="29"/>
    <w:bookmarkStart w:id="30" w:name="functional-properties-of-controls-sa-41"/>
    <w:p>
      <w:pPr>
        <w:pStyle w:val="Heading3"/>
      </w:pPr>
      <w:r>
        <w:t xml:space="preserve">Functional properties of controls (SA-4(1))</w:t>
      </w:r>
    </w:p>
    <w:p>
      <w:pPr>
        <w:pStyle w:val="Guidance"/>
      </w:pPr>
      <w:r>
        <w:t xml:space="preserve">Functional properties are what a control does as seen at its interfaces: the security or privacy functions a user, administrator or other component can call on, not how the control works inside. NIST’s SA-4(1) discussion excludes internal functions and data structures. The description lets the system owner check that each control the contract requires is actually delivered, and gives assessors something to test against.</w:t>
      </w:r>
    </w:p>
    <w:p>
      <w:pPr>
        <w:pStyle w:val="Compact"/>
        <w:numPr>
          <w:ilvl w:val="0"/>
          <w:numId w:val="1010"/>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a description of the functional properties of the controls to be implemented. (SA-4(1))</w:t>
      </w:r>
    </w:p>
    <w:p>
      <w:pPr>
        <w:pStyle w:val="Compact"/>
        <w:numPr>
          <w:ilvl w:val="0"/>
          <w:numId w:val="1010"/>
        </w:numPr>
      </w:pPr>
      <w:r>
        <w:t xml:space="preserve">The</w:t>
      </w:r>
      <w:r>
        <w:t xml:space="preserve"> </w:t>
      </w:r>
      <w:r>
        <w:rPr>
          <w:rStyle w:val="Fill-in"/>
        </w:rPr>
        <w:t xml:space="preserve">[System owner]</w:t>
      </w:r>
      <w:r>
        <w:t xml:space="preserve"> </w:t>
      </w:r>
      <w:r>
        <w:t xml:space="preserve">shall accept the description only when it covers every control the contract allocates to the developer. (SA-4(1))</w:t>
      </w:r>
    </w:p>
    <w:bookmarkEnd w:id="30"/>
    <w:bookmarkStart w:id="31" w:name="Xeb2695f3a63295baa6033de0dbfa99d3267a330"/>
    <w:p>
      <w:pPr>
        <w:pStyle w:val="Heading3"/>
      </w:pPr>
      <w:r>
        <w:t xml:space="preserve">Design and implementation information for controls (SA-4(2))</w:t>
      </w:r>
    </w:p>
    <w:p>
      <w:pPr>
        <w:pStyle w:val="Guidance"/>
      </w:pPr>
      <w:r>
        <w:t xml:space="preserve">NIST’s SA-4(2) discussion describes the levels: high-level design is expressed in subsystems and the interfaces between them, low-level design in modules, and source code or hardware schematics are the implementation itself. Most commercial products provide interface and high-level design information only; ask for more where the system’s risk warrants it, and say so in the solicitation. The discussion adds that the information can include the manufacturer, version, serial number, verification hash, software libraries used, and the date and source of purchase or download.</w:t>
      </w:r>
    </w:p>
    <w:p>
      <w:pPr>
        <w:pStyle w:val="Compact"/>
        <w:numPr>
          <w:ilvl w:val="0"/>
          <w:numId w:val="1011"/>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design and implementation information for the controls that includes</w:t>
      </w:r>
      <w:r>
        <w:t xml:space="preserve"> </w:t>
      </w:r>
      <w:r>
        <w:rPr>
          <w:rStyle w:val="Fill-in"/>
        </w:rPr>
        <w:t xml:space="preserve">[Select one or more: security-relevant external system interfaces; high-level design; low-level design; source code or hardware schematics; [Assignment: organization-defined design and implementation information]. Typical: security-relevant external system interfaces and high-level design, and for High systems also low-level design]</w:t>
      </w:r>
      <w:r>
        <w:t xml:space="preserve"> </w:t>
      </w:r>
      <w:r>
        <w:t xml:space="preserve">at</w:t>
      </w:r>
      <w:r>
        <w:t xml:space="preserve"> </w:t>
      </w:r>
      <w:r>
        <w:rPr>
          <w:rStyle w:val="Fill-in"/>
        </w:rPr>
        <w:t xml:space="preserve">[Fill in: level of detail. Typical: enough detail to show, for each subsystem and interface, which controls it implements and how]</w:t>
      </w:r>
      <w:r>
        <w:t xml:space="preserve">. (SA-4(2))</w:t>
      </w:r>
    </w:p>
    <w:p>
      <w:pPr>
        <w:pStyle w:val="Compact"/>
        <w:numPr>
          <w:ilvl w:val="0"/>
          <w:numId w:val="1011"/>
        </w:numPr>
      </w:pPr>
      <w:r>
        <w:t xml:space="preserve">The</w:t>
      </w:r>
      <w:r>
        <w:t xml:space="preserve"> </w:t>
      </w:r>
      <w:r>
        <w:rPr>
          <w:rStyle w:val="Fill-in"/>
        </w:rPr>
        <w:t xml:space="preserve">[System owner]</w:t>
      </w:r>
      <w:r>
        <w:t xml:space="preserve"> </w:t>
      </w:r>
      <w:r>
        <w:t xml:space="preserve">shall protect the design and implementation information according to the system’s security category, as the contract’s documentation protection requirements set (SA-4f). (SA-4(2))</w:t>
      </w:r>
    </w:p>
    <w:bookmarkEnd w:id="31"/>
    <w:bookmarkStart w:id="32" w:name="X6153170058262b5c75c6cbef6dc538c339ee621"/>
    <w:p>
      <w:pPr>
        <w:pStyle w:val="Heading3"/>
      </w:pPr>
      <w:r>
        <w:t xml:space="preserve">System, component and service configurations (SA-4(5))</w:t>
      </w:r>
    </w:p>
    <w:p>
      <w:pPr>
        <w:pStyle w:val="Guidance"/>
      </w:pPr>
      <w:r>
        <w:t xml:space="preserve">Delivering secure configurations saves hardening each component after it arrives, and keeps reinstallation from quietly restoring insecure defaults. NIST’s SA-4(5) discussion gives as examples the U.S. Government Configuration Baseline (USGCB), Security Technical Implementation Guides (STIGs), limits on functions, ports, protocols and services, and changed default passwords. Use the same baselines as configuration settings (CM-6), so delivered components pass the same checks as the rest of the system.</w:t>
      </w:r>
    </w:p>
    <w:p>
      <w:pPr>
        <w:pStyle w:val="Compact"/>
        <w:numPr>
          <w:ilvl w:val="0"/>
          <w:numId w:val="1012"/>
        </w:numPr>
      </w:pPr>
      <w:r>
        <w:t xml:space="preserve">The</w:t>
      </w:r>
      <w:r>
        <w:t xml:space="preserve"> </w:t>
      </w:r>
      <w:r>
        <w:rPr>
          <w:rStyle w:val="Fill-in"/>
        </w:rPr>
        <w:t xml:space="preserve">[System owner]</w:t>
      </w:r>
      <w:r>
        <w:t xml:space="preserve"> </w:t>
      </w:r>
      <w:r>
        <w:t xml:space="preserve">shall require the developer of the system, system component or system service to deliver it with</w:t>
      </w:r>
      <w:r>
        <w:t xml:space="preserve"> </w:t>
      </w:r>
      <w:r>
        <w:rPr>
          <w:rStyle w:val="Fill-in"/>
        </w:rPr>
        <w:t xml:space="preserve">[Fill in: security configurations for the system, component, or service. Typical: the secure configuration baselines named in the baseline configuration standard for that type of component, with default passwords changed and the functions, ports, protocols and services not needed disabled]</w:t>
      </w:r>
      <w:r>
        <w:t xml:space="preserve"> </w:t>
      </w:r>
      <w:r>
        <w:t xml:space="preserve">implemented. (SA-4(5)(a))</w:t>
      </w:r>
    </w:p>
    <w:p>
      <w:pPr>
        <w:pStyle w:val="Compact"/>
        <w:numPr>
          <w:ilvl w:val="0"/>
          <w:numId w:val="1012"/>
        </w:numPr>
      </w:pPr>
      <w:r>
        <w:t xml:space="preserve">The</w:t>
      </w:r>
      <w:r>
        <w:t xml:space="preserve"> </w:t>
      </w:r>
      <w:r>
        <w:rPr>
          <w:rStyle w:val="Fill-in"/>
        </w:rPr>
        <w:t xml:space="preserve">[System owner]</w:t>
      </w:r>
      <w:r>
        <w:t xml:space="preserve"> </w:t>
      </w:r>
      <w:r>
        <w:t xml:space="preserve">shall require the developer to use those configurations as the default for any later reinstallation or upgrade of the system, component or service. (SA-4(5)(b))</w:t>
      </w:r>
    </w:p>
    <w:bookmarkEnd w:id="32"/>
    <w:bookmarkStart w:id="33" w:name="X419771c8249d4b966b57f8f8e7faaee7f35c9c4"/>
    <w:p>
      <w:pPr>
        <w:pStyle w:val="Heading3"/>
      </w:pPr>
      <w:r>
        <w:t xml:space="preserve">Functions, ports, protocols and services in use (SA-4(9))</w:t>
      </w:r>
    </w:p>
    <w:p>
      <w:pPr>
        <w:pStyle w:val="Guidance"/>
      </w:pPr>
      <w:r>
        <w:t xml:space="preserve">Knowing the functions, ports, protocols and services a product needs before it is bought lets the organization refuse risky ones early, instead of retrofitting controls later, as NIST’s SA-4(9) discussion notes. The developer’s list becomes the starting point for least functionality (CM-7) and for boundary protection rules (SC-7). For external services the matching requirement is SA-9(2).</w:t>
      </w:r>
    </w:p>
    <w:p>
      <w:pPr>
        <w:pStyle w:val="Compact"/>
        <w:numPr>
          <w:ilvl w:val="0"/>
          <w:numId w:val="1013"/>
        </w:numPr>
      </w:pPr>
      <w:r>
        <w:t xml:space="preserve">The</w:t>
      </w:r>
      <w:r>
        <w:t xml:space="preserve"> </w:t>
      </w:r>
      <w:r>
        <w:rPr>
          <w:rStyle w:val="Fill-in"/>
        </w:rPr>
        <w:t xml:space="preserve">[System owner]</w:t>
      </w:r>
      <w:r>
        <w:t xml:space="preserve"> </w:t>
      </w:r>
      <w:r>
        <w:t xml:space="preserve">shall require the developer of the system, system component or system service to identify, early in the system development life cycle, the functions, ports, protocols and services intended for organizational use. (SA-4(9))</w:t>
      </w:r>
    </w:p>
    <w:p>
      <w:pPr>
        <w:pStyle w:val="Compact"/>
        <w:numPr>
          <w:ilvl w:val="0"/>
          <w:numId w:val="1013"/>
        </w:numPr>
      </w:pPr>
      <w:r>
        <w:t xml:space="preserve">The</w:t>
      </w:r>
      <w:r>
        <w:t xml:space="preserve"> </w:t>
      </w:r>
      <w:r>
        <w:rPr>
          <w:rStyle w:val="Fill-in"/>
        </w:rPr>
        <w:t xml:space="preserve">[System owner]</w:t>
      </w:r>
      <w:r>
        <w:t xml:space="preserve"> </w:t>
      </w:r>
      <w:r>
        <w:t xml:space="preserve">shall review the list against the organization’s prohibited and restricted functions, ports, protocols and services (CM-7) before the design or product is accepted, and record it in the system security plan. (SA-4(9))</w:t>
      </w:r>
    </w:p>
    <w:bookmarkEnd w:id="33"/>
    <w:bookmarkStart w:id="37" w:name="use-of-approved-piv-products-sa-410"/>
    <w:p>
      <w:pPr>
        <w:pStyle w:val="Heading3"/>
      </w:pPr>
      <w:r>
        <w:t xml:space="preserve">Use of approved PIV products (SA-4(10))</w:t>
      </w:r>
    </w:p>
    <w:p>
      <w:pPr>
        <w:pStyle w:val="Guidance"/>
      </w:pPr>
      <w:r>
        <w:t xml:space="preserve">Personal Identity Verification (PIV) is the U.S. federal smart card credential, and the FIPS 201 Approved Products List names the products tested against its standard. An organization outside the federal government meets this enhancement where it implements PIV or PIV-interoperable capability; if the system implements none, record the enhancement as not applicable in the system security plan with that reason, as for IA-2(12).</w:t>
      </w:r>
    </w:p>
    <w:p>
      <w:pPr>
        <w:pStyle w:val="Compact"/>
        <w:numPr>
          <w:ilvl w:val="0"/>
          <w:numId w:val="1014"/>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014"/>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36" w:name="federal-systems-3"/>
    <w:p>
      <w:pPr>
        <w:pStyle w:val="Heading4"/>
      </w:pPr>
      <w:r>
        <w:t xml:space="preserve">Federal systems</w:t>
      </w:r>
    </w:p>
    <w:p>
      <w:pPr>
        <w:pStyle w:val="FirstParagraph"/>
      </w:pPr>
      <w:hyperlink r:id="rId34">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35">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015"/>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36"/>
    <w:bookmarkEnd w:id="37"/>
    <w:bookmarkStart w:id="39" w:name="system-documentation-sa-5"/>
    <w:p>
      <w:pPr>
        <w:pStyle w:val="Heading3"/>
      </w:pPr>
      <w:r>
        <w:t xml:space="preserve">System documentation (SA-5)</w:t>
      </w:r>
    </w:p>
    <w:p>
      <w:pPr>
        <w:pStyle w:val="Guidance"/>
      </w:pPr>
      <w:r>
        <w:t xml:space="preserve">Administrator and user documentation is how the people who run and use a system learn to operate its security and privacy functions correctly. NIST’s SA-5 discussion names system owners, system security officers and system administrators as the people who need it, and says the organization may need to recreate documentation it cannot obtain when that documentation is essential to operating the controls. Protect documentation that describes vulnerabilities more strictly than the rest.</w:t>
      </w:r>
    </w:p>
    <w:p>
      <w:pPr>
        <w:pStyle w:val="Compact"/>
        <w:numPr>
          <w:ilvl w:val="0"/>
          <w:numId w:val="1016"/>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016"/>
        </w:numPr>
      </w:pPr>
      <w:r>
        <w:t xml:space="preserve">The administrator documentation shall describe the effective use and maintenance of the security and privacy functions and mechanisms. (SA-5a.2)</w:t>
      </w:r>
    </w:p>
    <w:p>
      <w:pPr>
        <w:pStyle w:val="Compact"/>
        <w:numPr>
          <w:ilvl w:val="0"/>
          <w:numId w:val="1016"/>
        </w:numPr>
      </w:pPr>
      <w:r>
        <w:t xml:space="preserve">The administrator documentation shall describe known vulnerabilities regarding the configuration and use of administrative or privileged functions. (SA-5a.3)</w:t>
      </w:r>
    </w:p>
    <w:p>
      <w:pPr>
        <w:pStyle w:val="Compact"/>
        <w:numPr>
          <w:ilvl w:val="0"/>
          <w:numId w:val="1016"/>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016"/>
        </w:numPr>
      </w:pPr>
      <w:r>
        <w:t xml:space="preserve">The user documentation shall describe methods of user interaction that let individuals use the system, component or service more securely and protect individual privacy. (SA-5b.2)</w:t>
      </w:r>
    </w:p>
    <w:p>
      <w:pPr>
        <w:pStyle w:val="Compact"/>
        <w:numPr>
          <w:ilvl w:val="0"/>
          <w:numId w:val="1016"/>
        </w:numPr>
      </w:pPr>
      <w:r>
        <w:t xml:space="preserve">The user documentation shall describe users’ responsibilities for maintaining the security of the system, component or service and the privacy of individuals. (SA-5b.3)</w:t>
      </w:r>
    </w:p>
    <w:p>
      <w:pPr>
        <w:pStyle w:val="Compact"/>
        <w:numPr>
          <w:ilvl w:val="0"/>
          <w:numId w:val="1016"/>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016"/>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016"/>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38" w:name="federal-systems-4"/>
    <w:p>
      <w:pPr>
        <w:pStyle w:val="Heading4"/>
      </w:pPr>
      <w:r>
        <w:t xml:space="preserve">Federal systems</w:t>
      </w:r>
    </w:p>
    <w:p>
      <w:pPr>
        <w:pStyle w:val="FirstParagraph"/>
      </w:pPr>
      <w:hyperlink r:id="rId19">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017"/>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38"/>
    <w:bookmarkEnd w:id="39"/>
    <w:bookmarkStart w:id="41" w:name="X8083db2fed54f34e7396f7a6baa5c8a26be9932"/>
    <w:p>
      <w:pPr>
        <w:pStyle w:val="Heading3"/>
      </w:pPr>
      <w:r>
        <w:t xml:space="preserve">Security and privacy engineering principles (SA-8)</w:t>
      </w:r>
    </w:p>
    <w:p>
      <w:pPr>
        <w:pStyle w:val="Guidance"/>
      </w:pPr>
      <w:r>
        <w:t xml:space="preserve">NIST’s SA-8 discussion lists examples of engineering principles: layered protections, security and privacy requirements built into the life cycle, clear physical and logical boundaries, developers trained to build secure software, and threat modeling. NIST SP 800-160 Vol. 1 Rev. 1, Engineering Trustworthy Secure Systems (</w:t>
      </w:r>
      <w:hyperlink r:id="rId25">
        <w:r>
          <w:rPr>
            <w:rStyle w:val="Hyperlink"/>
          </w:rPr>
          <w:t xml:space="preserve">November 2022</w:t>
        </w:r>
      </w:hyperlink>
      <w:r>
        <w:t xml:space="preserve">, current as of September 2026), describes 30 design principles in Appendix E, and says they are a basis for reasoning about a design, not rules to be complied with. For privacy, NIST IR 8062, An Introduction to Privacy Engineering and Risk Management in Federal Systems (</w:t>
      </w:r>
      <w:hyperlink r:id="rId40">
        <w:r>
          <w:rPr>
            <w:rStyle w:val="Hyperlink"/>
          </w:rPr>
          <w:t xml:space="preserve">January 2017</w:t>
        </w:r>
      </w:hyperlink>
      <w:r>
        <w:t xml:space="preserve">, current as of September 2026), sets out three privacy engineering objectives.</w:t>
      </w:r>
    </w:p>
    <w:p>
      <w:pPr>
        <w:pStyle w:val="Compact"/>
        <w:numPr>
          <w:ilvl w:val="0"/>
          <w:numId w:val="1018"/>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018"/>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018"/>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41"/>
    <w:bookmarkStart w:id="46" w:name="external-system-services-sa-9"/>
    <w:p>
      <w:pPr>
        <w:pStyle w:val="Heading3"/>
      </w:pPr>
      <w:r>
        <w:t xml:space="preserve">External system services (SA-9)</w:t>
      </w:r>
    </w:p>
    <w:p>
      <w:pPr>
        <w:pStyle w:val="Guidance"/>
      </w:pPr>
      <w:r>
        <w:t xml:space="preserve">External system services are cloud platforms, software as a service, hosting, managed security and other services the system relies on but does not run. NIST’s SA-9 discussion keeps the responsibility for their risk with the authorizing official, and has the organization document the basis of its trust in each provider so the relationship can be monitored. A shared responsibility matrix for each service, recorded in the system security plan as inherited, shared or system-owned controls, shows who does what. The</w:t>
      </w:r>
      <w:r>
        <w:t xml:space="preserve"> </w:t>
      </w:r>
      <w:hyperlink r:id="rId42">
        <w:r>
          <w:rPr>
            <w:rStyle w:val="Hyperlink"/>
          </w:rPr>
          <w:t xml:space="preserve">information exchange agreement</w:t>
        </w:r>
      </w:hyperlink>
      <w:r>
        <w:t xml:space="preserve"> </w:t>
      </w:r>
      <w:r>
        <w:t xml:space="preserve">(CA-3) covers the connection; this clause covers the provider. The</w:t>
      </w:r>
      <w:r>
        <w:t xml:space="preserve"> </w:t>
      </w:r>
      <w:hyperlink r:id="rId43">
        <w:r>
          <w:rPr>
            <w:rStyle w:val="Hyperlink"/>
          </w:rPr>
          <w:t xml:space="preserve">external service review</w:t>
        </w:r>
      </w:hyperlink>
      <w:r>
        <w:t xml:space="preserve"> </w:t>
      </w:r>
      <w:r>
        <w:t xml:space="preserve">records the review of each service before use and at each annual review, with a register of every external service.</w:t>
      </w:r>
    </w:p>
    <w:p>
      <w:pPr>
        <w:pStyle w:val="Compact"/>
        <w:numPr>
          <w:ilvl w:val="0"/>
          <w:numId w:val="1019"/>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019"/>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019"/>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019"/>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019"/>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45" w:name="federal-systems-5"/>
    <w:p>
      <w:pPr>
        <w:pStyle w:val="Heading4"/>
      </w:pPr>
      <w:r>
        <w:t xml:space="preserve">Federal systems</w:t>
      </w:r>
    </w:p>
    <w:p>
      <w:pPr>
        <w:pStyle w:val="FirstParagraph"/>
      </w:pPr>
      <w:hyperlink r:id="rId19">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44">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020"/>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020"/>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45"/>
    <w:bookmarkEnd w:id="46"/>
    <w:bookmarkStart w:id="47" w:name="Xd6df5f3fd4538438d02383c00072d5041800588"/>
    <w:p>
      <w:pPr>
        <w:pStyle w:val="Heading3"/>
      </w:pPr>
      <w:r>
        <w:t xml:space="preserve">Identification of functions, ports, protocols and services (SA-9(2))</w:t>
      </w:r>
    </w:p>
    <w:p>
      <w:pPr>
        <w:pStyle w:val="Guidance"/>
      </w:pPr>
      <w:r>
        <w:t xml:space="preserve">A provider’s list of the functions, ports, protocols and services its service needs lets the organization weigh the trade-offs of blocking or restricting them, as NIST’s SA-9(2) discussion notes. Use the list to set the boundary protection rules for the connection (SC-7) and to spot anything the service needs that the organization prohibits (CM-7).</w:t>
      </w:r>
    </w:p>
    <w:p>
      <w:pPr>
        <w:pStyle w:val="Compact"/>
        <w:numPr>
          <w:ilvl w:val="0"/>
          <w:numId w:val="1021"/>
        </w:numPr>
      </w:pPr>
      <w:r>
        <w:t xml:space="preserve">The</w:t>
      </w:r>
      <w:r>
        <w:t xml:space="preserve"> </w:t>
      </w:r>
      <w:r>
        <w:rPr>
          <w:rStyle w:val="Fill-in"/>
        </w:rPr>
        <w:t xml:space="preserve">[System owner]</w:t>
      </w:r>
      <w:r>
        <w:t xml:space="preserve"> </w:t>
      </w:r>
      <w:r>
        <w:t xml:space="preserve">shall require providers of</w:t>
      </w:r>
      <w:r>
        <w:t xml:space="preserve"> </w:t>
      </w:r>
      <w:r>
        <w:rPr>
          <w:rStyle w:val="Fill-in"/>
        </w:rPr>
        <w:t xml:space="preserve">[Fill in: external system services that require the identification of functions, ports, protocols, and other services. Typical: all external system services that connect to the system]</w:t>
      </w:r>
      <w:r>
        <w:t xml:space="preserve"> </w:t>
      </w:r>
      <w:r>
        <w:t xml:space="preserve">to identify the functions, ports, protocols and other services required for the use of those services. (SA-9(2))</w:t>
      </w:r>
    </w:p>
    <w:p>
      <w:pPr>
        <w:pStyle w:val="Compact"/>
        <w:numPr>
          <w:ilvl w:val="0"/>
          <w:numId w:val="1021"/>
        </w:numPr>
      </w:pPr>
      <w:r>
        <w:t xml:space="preserve">The</w:t>
      </w:r>
      <w:r>
        <w:t xml:space="preserve"> </w:t>
      </w:r>
      <w:r>
        <w:rPr>
          <w:rStyle w:val="Fill-in"/>
        </w:rPr>
        <w:t xml:space="preserve">[System owner]</w:t>
      </w:r>
      <w:r>
        <w:t xml:space="preserve"> </w:t>
      </w:r>
      <w:r>
        <w:t xml:space="preserve">shall record each provider’s list with the service in the system security plan, and update it when the provider changes the service. (SA-9(2))</w:t>
      </w:r>
    </w:p>
    <w:bookmarkEnd w:id="47"/>
    <w:bookmarkStart w:id="49" w:name="developer-configuration-management-sa-10"/>
    <w:p>
      <w:pPr>
        <w:pStyle w:val="Heading3"/>
      </w:pPr>
      <w:r>
        <w:t xml:space="preserve">Developer configuration management (SA-10)</w:t>
      </w:r>
    </w:p>
    <w:p>
      <w:pPr>
        <w:pStyle w:val="Guidance"/>
      </w:pPr>
      <w:r>
        <w:t xml:space="preserve">SA-10 applies configuration management to the developer, whether an outside supplier or an in-house team. NIST’s SA-10 discussion treats the quality of the developer’s configuration management as direct evidence that the controls work, and lists the configuration items to protect: design specifications, source code and hardware schematics, the running object code, comparison tools, and test fixtures and documentation. NIST’s Secure Software Development Framework, SP 800-218 (</w:t>
      </w:r>
      <w:hyperlink r:id="rId48">
        <w:r>
          <w:rPr>
            <w:rStyle w:val="Hyperlink"/>
          </w:rPr>
          <w:t xml:space="preserve">February 2022</w:t>
        </w:r>
      </w:hyperlink>
      <w:r>
        <w:t xml:space="preserve">, version 1.1; version 1.2 is a December 2025 draft; as of September 2026), cites SA-10 for practice PS.1, protecting all forms of code from unauthorized access and tampering.</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configuration management during</w:t>
      </w:r>
      <w:r>
        <w:t xml:space="preserve"> </w:t>
      </w:r>
      <w:r>
        <w:rPr>
          <w:rStyle w:val="Fill-in"/>
        </w:rPr>
        <w:t xml:space="preserve">[Select one or more: design; development; implementation; operation; disposal. Typical: design, development, implementation and operation]</w:t>
      </w:r>
      <w:r>
        <w:t xml:space="preserve">. (SA-10a)</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document, manage and control the integrity of changes to</w:t>
      </w:r>
      <w:r>
        <w:t xml:space="preserve"> </w:t>
      </w:r>
      <w:r>
        <w:rPr>
          <w:rStyle w:val="Fill-in"/>
        </w:rPr>
        <w:t xml:space="preserve">[Fill in: configuration items under configuration management. Typical: design specifications, source code, build scripts and pipeline configuration, infrastructure and configuration as code, test scripts and results, and each released executable]</w:t>
      </w:r>
      <w:r>
        <w:t xml:space="preserve">. (SA-10b)</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implement only organization-approved changes to the system, component or service. (SA-10c)</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document approved changes and their potential security and privacy impacts. (SA-10d)</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track security flaws and flaw resolution within the system, component or service, and report findings to</w:t>
      </w:r>
      <w:r>
        <w:t xml:space="preserve"> </w:t>
      </w:r>
      <w:r>
        <w:rPr>
          <w:rStyle w:val="Fill-in"/>
        </w:rPr>
        <w:t xml:space="preserve">[Fill in: personnel to whom security flaws and flaw resolutions within the system, component, or service are reported. Typical: the system owner and the Chief Information Security Officer]</w:t>
      </w:r>
      <w:r>
        <w:t xml:space="preserve">. (SA-10e)</w:t>
      </w:r>
    </w:p>
    <w:p>
      <w:pPr>
        <w:pStyle w:val="Compact"/>
        <w:numPr>
          <w:ilvl w:val="0"/>
          <w:numId w:val="1022"/>
        </w:numPr>
      </w:pPr>
      <w:r>
        <w:t xml:space="preserve">The</w:t>
      </w:r>
      <w:r>
        <w:t xml:space="preserve"> </w:t>
      </w:r>
      <w:r>
        <w:rPr>
          <w:rStyle w:val="Fill-in"/>
        </w:rPr>
        <w:t xml:space="preserve">[System owner]</w:t>
      </w:r>
      <w:r>
        <w:t xml:space="preserve"> </w:t>
      </w:r>
      <w:r>
        <w:t xml:space="preserve">shall ensure developer changes to an operational system go through the system’s configuration change control (CM-3). (SA-10c)</w:t>
      </w:r>
    </w:p>
    <w:bookmarkEnd w:id="49"/>
    <w:bookmarkStart w:id="50" w:name="developer-testing-and-evaluation-sa-11"/>
    <w:p>
      <w:pPr>
        <w:pStyle w:val="Heading3"/>
      </w:pPr>
      <w:r>
        <w:t xml:space="preserve">Developer testing and evaluation (SA-11)</w:t>
      </w:r>
    </w:p>
    <w:p>
      <w:pPr>
        <w:pStyle w:val="Guidance"/>
      </w:pPr>
      <w:r>
        <w:t xml:space="preserve">Developer testing finds flaws before the system reaches the assessor or the adversary. NIST’s SA-11 discussion names the approaches: manual code review, security architecture review, penetration testing, and static, dynamic and binary analysis, with instrumentation and fuzzing. It defines depth as the rigor and detail of testing and coverage as the number and type of artifacts tested, and has contracts set acceptance criteria for the plans, the flaw remediation process and the evidence. NIST’s Secure Software Development Framework, SP 800-218 (</w:t>
      </w:r>
      <w:hyperlink r:id="rId48">
        <w:r>
          <w:rPr>
            <w:rStyle w:val="Hyperlink"/>
          </w:rPr>
          <w:t xml:space="preserve">February 2022</w:t>
        </w:r>
      </w:hyperlink>
      <w:r>
        <w:t xml:space="preserve">, version 1.1; as of September 2026), cites SA-11 for practices PW.7, reviewing and analyzing human-readable code, and PW.8, testing executable code.</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023"/>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50"/>
    <w:bookmarkStart w:id="52" w:name="X6c372991e8355ceafe78d2a196061eca40c183e"/>
    <w:p>
      <w:pPr>
        <w:pStyle w:val="Heading3"/>
      </w:pPr>
      <w:r>
        <w:t xml:space="preserve">Development process, standards and tools (SA-15)</w:t>
      </w:r>
    </w:p>
    <w:p>
      <w:pPr>
        <w:pStyle w:val="Guidance"/>
      </w:pPr>
      <w:r>
        <w:t xml:space="preserve">SA-15 asks for a development process that is written down, addresses security and privacy, and keeps its own tools under control, since a compromised build tool compromises everything it builds. NIST’s SA-15 discussion says reviews of the process can use maturity models, and that controlling changes to tools supports supply chain risk management. NIST’s Secure Software Development Framework, SP 800-218 (</w:t>
      </w:r>
      <w:hyperlink r:id="rId48">
        <w:r>
          <w:rPr>
            <w:rStyle w:val="Hyperlink"/>
          </w:rPr>
          <w:t xml:space="preserve">February 2022</w:t>
        </w:r>
      </w:hyperlink>
      <w:r>
        <w:t xml:space="preserve">, version 1.1; version 1.2 is a December 2025 draft; as of September 2026), cites SA-15 for its Prepare the Organization practices, including PO.1, defining security requirements for software development, and PO.3, implementing supporting toolchains. The organization’s own secure development policy and standard, based on the SSDF, are Phase 4 templates.</w:t>
      </w:r>
    </w:p>
    <w:p>
      <w:pPr>
        <w:pStyle w:val="Compact"/>
        <w:numPr>
          <w:ilvl w:val="0"/>
          <w:numId w:val="1024"/>
        </w:numPr>
      </w:pPr>
      <w:r>
        <w:t xml:space="preserve">The</w:t>
      </w:r>
      <w:r>
        <w:t xml:space="preserve"> </w:t>
      </w:r>
      <w:r>
        <w:rPr>
          <w:rStyle w:val="Fill-in"/>
        </w:rPr>
        <w:t xml:space="preserve">[System owner]</w:t>
      </w:r>
      <w:r>
        <w:t xml:space="preserve"> </w:t>
      </w:r>
      <w:r>
        <w:t xml:space="preserve">shall require the developer of the system, system component or system service to follow a documented development process that explicitly addresses security and privacy requirements. (SA-15a.1)</w:t>
      </w:r>
    </w:p>
    <w:p>
      <w:pPr>
        <w:pStyle w:val="Compact"/>
        <w:numPr>
          <w:ilvl w:val="0"/>
          <w:numId w:val="1024"/>
        </w:numPr>
      </w:pPr>
      <w:r>
        <w:t xml:space="preserve">The documented process shall identify the standards and tools used in the development process. (SA-15a.2)</w:t>
      </w:r>
    </w:p>
    <w:p>
      <w:pPr>
        <w:pStyle w:val="Compact"/>
        <w:numPr>
          <w:ilvl w:val="0"/>
          <w:numId w:val="1024"/>
        </w:numPr>
      </w:pPr>
      <w:r>
        <w:t xml:space="preserve">The documented process shall document the specific tool options and tool configurations used in the development process. (SA-15a.3)</w:t>
      </w:r>
    </w:p>
    <w:p>
      <w:pPr>
        <w:pStyle w:val="Compact"/>
        <w:numPr>
          <w:ilvl w:val="0"/>
          <w:numId w:val="1024"/>
        </w:numPr>
      </w:pPr>
      <w:r>
        <w:t xml:space="preserve">The documented process shall document, manage and ensure the integrity of changes to the process and the tools used in development. (SA-15a.4)</w:t>
      </w:r>
    </w:p>
    <w:p>
      <w:pPr>
        <w:pStyle w:val="Compact"/>
        <w:numPr>
          <w:ilvl w:val="0"/>
          <w:numId w:val="1024"/>
        </w:numPr>
      </w:pPr>
      <w:r>
        <w:t xml:space="preserve">The</w:t>
      </w:r>
      <w:r>
        <w:t xml:space="preserve"> </w:t>
      </w:r>
      <w:r>
        <w:rPr>
          <w:rStyle w:val="Fill-in"/>
        </w:rPr>
        <w:t xml:space="preserve">[System owner]</w:t>
      </w:r>
      <w:r>
        <w:t xml:space="preserve"> </w:t>
      </w:r>
      <w:r>
        <w:t xml:space="preserve">shall review the development process, standards, tools, tool options and tool configurations</w:t>
      </w:r>
      <w:r>
        <w:t xml:space="preserve"> </w:t>
      </w:r>
      <w:r>
        <w:rPr>
          <w:rStyle w:val="Fill-in"/>
        </w:rPr>
        <w:t xml:space="preserve">[Fill in: frequency at which to review the development process, standards, tools, tool options, and tool configurations. Typical: at least annually, and before a new development tool or a major change to the development process is adopted]</w:t>
      </w:r>
      <w:r>
        <w:t xml:space="preserve"> </w:t>
      </w:r>
      <w:r>
        <w:t xml:space="preserve">to determine whether they can satisfy</w:t>
      </w:r>
      <w:r>
        <w:t xml:space="preserve"> </w:t>
      </w:r>
      <w:r>
        <w:rPr>
          <w:rStyle w:val="Fill-in"/>
        </w:rPr>
        <w:t xml:space="preserve">[Fill in: security and privacy requirements. Typical: the security requirements in the acquisition contract (SA-4) and the organization’s secure software development practices, and the privacy requirements recorded in the system’s privacy impact assessment]</w:t>
      </w:r>
      <w:r>
        <w:t xml:space="preserve">. (SA-15b)</w:t>
      </w:r>
    </w:p>
    <w:p>
      <w:pPr>
        <w:pStyle w:val="Compact"/>
        <w:numPr>
          <w:ilvl w:val="0"/>
          <w:numId w:val="1024"/>
        </w:numPr>
      </w:pPr>
      <w:r>
        <w:t xml:space="preserve">The</w:t>
      </w:r>
      <w:r>
        <w:t xml:space="preserve"> </w:t>
      </w:r>
      <w:r>
        <w:rPr>
          <w:rStyle w:val="Fill-in"/>
        </w:rPr>
        <w:t xml:space="preserve">[System owner]</w:t>
      </w:r>
      <w:r>
        <w:t xml:space="preserve"> </w:t>
      </w:r>
      <w:r>
        <w:t xml:space="preserve">shall record each review’s findings, and track any shortfall to correction in the plan of action and milestones. (SA-15b)</w:t>
      </w:r>
    </w:p>
    <w:bookmarkStart w:id="51" w:name="federal-systems-6"/>
    <w:p>
      <w:pPr>
        <w:pStyle w:val="Heading4"/>
      </w:pPr>
      <w:r>
        <w:t xml:space="preserve">Federal systems</w:t>
      </w:r>
    </w:p>
    <w:p>
      <w:pPr>
        <w:pStyle w:val="FirstParagraph"/>
      </w:pPr>
      <w:hyperlink r:id="rId27">
        <w:r>
          <w:rPr>
            <w:rStyle w:val="Hyperlink"/>
          </w:rPr>
          <w:t xml:space="preserve">OMB M-26-05</w:t>
        </w:r>
      </w:hyperlink>
      <w:r>
        <w:t xml:space="preserve">, Adopting a Risk-based Approach to Software and Hardware Security (January 23, 2026), rescinds OMB M-22-18 and M-23-16. It states that each agency should validate provider security using secure development principles and a comprehensive risk assessment, requires agencies to develop software and hardware assurance policies and processes that match their risk determinations and mission needs, and names NIST SP 800-218 as a reference. As of September 2026.</w:t>
      </w:r>
    </w:p>
    <w:p>
      <w:pPr>
        <w:pStyle w:val="Compact"/>
        <w:numPr>
          <w:ilvl w:val="0"/>
          <w:numId w:val="1025"/>
        </w:numPr>
      </w:pPr>
      <w:r>
        <w:t xml:space="preserve">The</w:t>
      </w:r>
      <w:r>
        <w:t xml:space="preserve"> </w:t>
      </w:r>
      <w:r>
        <w:rPr>
          <w:rStyle w:val="Fill-in"/>
        </w:rPr>
        <w:t xml:space="preserve">[Chief Information Security Officer]</w:t>
      </w:r>
      <w:r>
        <w:t xml:space="preserve"> </w:t>
      </w:r>
      <w:r>
        <w:t xml:space="preserve">shall base the security requirements used under SA-15b on the agency’s software and hardware assurance policy under OMB M-26-05, and on a risk assessment of the system. (SA-15b)</w:t>
      </w:r>
    </w:p>
    <w:bookmarkEnd w:id="51"/>
    <w:bookmarkEnd w:id="52"/>
    <w:bookmarkStart w:id="53" w:name="criticality-analysis-sa-153"/>
    <w:p>
      <w:pPr>
        <w:pStyle w:val="Heading3"/>
      </w:pPr>
      <w:r>
        <w:t xml:space="preserve">Criticality analysis (SA-15(3))</w:t>
      </w:r>
    </w:p>
    <w:p>
      <w:pPr>
        <w:pStyle w:val="Guidance"/>
      </w:pPr>
      <w:r>
        <w:t xml:space="preserve">The developer’s criticality analysis feeds the organization’s own (RA-9), which often cannot see inside commercial products. NIST’s SA-15(3) discussion says developer input is especially important for supply chain criticality analyses and for systems designated as high value assets. The decision points here match those in the RA-9 clause, so both analyses are updated together.</w:t>
      </w:r>
    </w:p>
    <w:p>
      <w:pPr>
        <w:pStyle w:val="Compact"/>
        <w:numPr>
          <w:ilvl w:val="0"/>
          <w:numId w:val="1026"/>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a criticality analysis at</w:t>
      </w:r>
      <w:r>
        <w:t xml:space="preserve"> </w:t>
      </w:r>
      <w:r>
        <w:rPr>
          <w:rStyle w:val="Fill-in"/>
        </w:rPr>
        <w:t xml:space="preserve">[Fill in: decision points in the system development life cycle. Typical: during design, before acquiring major components or services, and when the architecture changes significantly]</w:t>
      </w:r>
      <w:r>
        <w:t xml:space="preserve">. (SA-15(3)(a))</w:t>
      </w:r>
    </w:p>
    <w:p>
      <w:pPr>
        <w:pStyle w:val="Compact"/>
        <w:numPr>
          <w:ilvl w:val="0"/>
          <w:numId w:val="1026"/>
        </w:numPr>
      </w:pPr>
      <w:r>
        <w:t xml:space="preserve">The</w:t>
      </w:r>
      <w:r>
        <w:t xml:space="preserve"> </w:t>
      </w:r>
      <w:r>
        <w:rPr>
          <w:rStyle w:val="Fill-in"/>
        </w:rPr>
        <w:t xml:space="preserve">[System owner]</w:t>
      </w:r>
      <w:r>
        <w:t xml:space="preserve"> </w:t>
      </w:r>
      <w:r>
        <w:t xml:space="preserve">shall require the developer’s criticality analysis to cover the following breadth and depth:</w:t>
      </w:r>
      <w:r>
        <w:t xml:space="preserve"> </w:t>
      </w:r>
      <w:r>
        <w:rPr>
          <w:rStyle w:val="Fill-in"/>
        </w:rPr>
        <w:t xml:space="preserve">[Fill in: breadth and depth of criticality analysis. Typical: the components and functions that support the system’s critical functions, including third-party and open-source components, analyzed down to the component and software module level and naming the supplier of each critical component]</w:t>
      </w:r>
      <w:r>
        <w:t xml:space="preserve">. (SA-15(3)(b))</w:t>
      </w:r>
    </w:p>
    <w:p>
      <w:pPr>
        <w:pStyle w:val="Compact"/>
        <w:numPr>
          <w:ilvl w:val="0"/>
          <w:numId w:val="1026"/>
        </w:numPr>
      </w:pPr>
      <w:r>
        <w:t xml:space="preserve">The</w:t>
      </w:r>
      <w:r>
        <w:t xml:space="preserve"> </w:t>
      </w:r>
      <w:r>
        <w:rPr>
          <w:rStyle w:val="Fill-in"/>
        </w:rPr>
        <w:t xml:space="preserve">[System owner]</w:t>
      </w:r>
      <w:r>
        <w:t xml:space="preserve"> </w:t>
      </w:r>
      <w:r>
        <w:t xml:space="preserve">shall use the developer’s results in the organization’s criticality analysis (RA-9). (SA-15(3))</w:t>
      </w:r>
    </w:p>
    <w:bookmarkEnd w:id="53"/>
    <w:bookmarkStart w:id="54" w:name="developer-provided-training-sa-16"/>
    <w:p>
      <w:pPr>
        <w:pStyle w:val="Heading3"/>
      </w:pPr>
      <w:r>
        <w:t xml:space="preserve">Developer-provided training (SA-16)</w:t>
      </w:r>
    </w:p>
    <w:p>
      <w:pPr>
        <w:pStyle w:val="Guidance"/>
      </w:pPr>
      <w:r>
        <w:t xml:space="preserve">Controls work only if the people who operate them know how. NIST’s SA-16 discussion applies this to both external and in-house developers, lists web-based, classroom and hands-on training, and notes that the organization can instead ask for training materials to run its own. Record completions in the training records (AT-4) with the rest of role-based training.</w:t>
      </w:r>
    </w:p>
    <w:p>
      <w:pPr>
        <w:pStyle w:val="Compact"/>
        <w:numPr>
          <w:ilvl w:val="0"/>
          <w:numId w:val="1027"/>
        </w:numPr>
      </w:pPr>
      <w:r>
        <w:t xml:space="preserve">The</w:t>
      </w:r>
      <w:r>
        <w:t xml:space="preserve"> </w:t>
      </w:r>
      <w:r>
        <w:rPr>
          <w:rStyle w:val="Fill-in"/>
        </w:rPr>
        <w:t xml:space="preserve">[System owner]</w:t>
      </w:r>
      <w:r>
        <w:t xml:space="preserve"> </w:t>
      </w:r>
      <w:r>
        <w:t xml:space="preserve">shall require the developer of the system, system component or system service to provide</w:t>
      </w:r>
      <w:r>
        <w:t xml:space="preserve"> </w:t>
      </w:r>
      <w:r>
        <w:rPr>
          <w:rStyle w:val="Fill-in"/>
        </w:rPr>
        <w:t xml:space="preserve">[Fill in: training on the correct use and operation of the implemented security and privacy functions, controls, and/or mechanisms provided by the developer of the system, system component, or system service. Typical: role-based training for the system’s administrators and security staff on configuring, operating and monitoring the security and privacy functions the developer provides, before the system goes into operation and after each major release, with materials the organization may reuse for in-house training]</w:t>
      </w:r>
      <w:r>
        <w:t xml:space="preserve"> </w:t>
      </w:r>
      <w:r>
        <w:t xml:space="preserve">on the correct use and operation of the implemented security and privacy functions, controls and mechanisms. (SA-16)</w:t>
      </w:r>
    </w:p>
    <w:p>
      <w:pPr>
        <w:pStyle w:val="Compact"/>
        <w:numPr>
          <w:ilvl w:val="0"/>
          <w:numId w:val="1027"/>
        </w:numPr>
      </w:pPr>
      <w:r>
        <w:t xml:space="preserve">The</w:t>
      </w:r>
      <w:r>
        <w:t xml:space="preserve"> </w:t>
      </w:r>
      <w:r>
        <w:rPr>
          <w:rStyle w:val="Fill-in"/>
        </w:rPr>
        <w:t xml:space="preserve">[System owner]</w:t>
      </w:r>
      <w:r>
        <w:t xml:space="preserve"> </w:t>
      </w:r>
      <w:r>
        <w:t xml:space="preserve">shall ensure the personnel who operate those functions complete the training before they are given the related privileges. (SA-16)</w:t>
      </w:r>
    </w:p>
    <w:bookmarkEnd w:id="54"/>
    <w:bookmarkStart w:id="55" w:name="X677648c3cb9a3c3fc81499866107721affe1dc9"/>
    <w:p>
      <w:pPr>
        <w:pStyle w:val="Heading3"/>
      </w:pPr>
      <w:r>
        <w:t xml:space="preserve">Developer security and privacy architecture and design (SA-17)</w:t>
      </w:r>
    </w:p>
    <w:p>
      <w:pPr>
        <w:pStyle w:val="Guidance"/>
      </w:pPr>
      <w:r>
        <w:t xml:space="preserve">SA-17 is the developer’s side of PL-8: NIST’s SA-17 discussion directs it at external developers, while PL-8 has the organization build its own security and privacy architecture into the enterprise architecture. The distinction matters most when development is outsourced and the organization must show the delivered design is consistent with its architecture. NIST’s discussion points to NIST SP 800-160 Vol. 1 Rev. 1 and ISO/IEC 15408 for security architecture and design.</w:t>
      </w:r>
    </w:p>
    <w:p>
      <w:pPr>
        <w:pStyle w:val="Compact"/>
        <w:numPr>
          <w:ilvl w:val="0"/>
          <w:numId w:val="1028"/>
        </w:numPr>
      </w:pPr>
      <w:r>
        <w:t xml:space="preserve">The</w:t>
      </w:r>
      <w:r>
        <w:t xml:space="preserve"> </w:t>
      </w:r>
      <w:r>
        <w:rPr>
          <w:rStyle w:val="Fill-in"/>
        </w:rPr>
        <w:t xml:space="preserve">[System owner]</w:t>
      </w:r>
      <w:r>
        <w:t xml:space="preserve"> </w:t>
      </w:r>
      <w:r>
        <w:t xml:space="preserve">shall require the developer of the system, system component or system service to produce a design specification and security and privacy architecture that is consistent with the organization’s security and privacy architecture, as an integral part of the organization’s enterprise architecture (PL-8). (SA-17a)</w:t>
      </w:r>
    </w:p>
    <w:p>
      <w:pPr>
        <w:pStyle w:val="Compact"/>
        <w:numPr>
          <w:ilvl w:val="0"/>
          <w:numId w:val="1028"/>
        </w:numPr>
      </w:pPr>
      <w:r>
        <w:t xml:space="preserve">The design specification and architecture shall accurately and completely describe the required security and privacy functionality, and the allocation of controls among physical and logical components. (SA-17b)</w:t>
      </w:r>
    </w:p>
    <w:p>
      <w:pPr>
        <w:pStyle w:val="Compact"/>
        <w:numPr>
          <w:ilvl w:val="0"/>
          <w:numId w:val="1028"/>
        </w:numPr>
      </w:pPr>
      <w:r>
        <w:t xml:space="preserve">The design specification and architecture shall express how the individual security and privacy functions, mechanisms and services work together to provide the required security and privacy capabilities and a unified approach to protection. (SA-17c)</w:t>
      </w:r>
    </w:p>
    <w:p>
      <w:pPr>
        <w:pStyle w:val="Compact"/>
        <w:numPr>
          <w:ilvl w:val="0"/>
          <w:numId w:val="1028"/>
        </w:numPr>
      </w:pPr>
      <w:r>
        <w:t xml:space="preserve">The</w:t>
      </w:r>
      <w:r>
        <w:t xml:space="preserve"> </w:t>
      </w:r>
      <w:r>
        <w:rPr>
          <w:rStyle w:val="Fill-in"/>
        </w:rPr>
        <w:t xml:space="preserve">[System owner]</w:t>
      </w:r>
      <w:r>
        <w:t xml:space="preserve"> </w:t>
      </w:r>
      <w:r>
        <w:t xml:space="preserve">shall have the design specification and architecture reviewed by the security architect and, for a system that processes personally identifiable information, the</w:t>
      </w:r>
      <w:r>
        <w:t xml:space="preserve"> </w:t>
      </w:r>
      <w:r>
        <w:rPr>
          <w:rStyle w:val="Fill-in"/>
        </w:rPr>
        <w:t xml:space="preserve">[Senior privacy official]</w:t>
      </w:r>
      <w:r>
        <w:t xml:space="preserve">, before the design is accepted. (SA-17)</w:t>
      </w:r>
    </w:p>
    <w:bookmarkEnd w:id="55"/>
    <w:bookmarkStart w:id="56" w:name="developer-screening-sa-21"/>
    <w:p>
      <w:pPr>
        <w:pStyle w:val="Heading3"/>
      </w:pPr>
      <w:r>
        <w:t xml:space="preserve">Developer screening (SA-21)</w:t>
      </w:r>
    </w:p>
    <w:p>
      <w:pPr>
        <w:pStyle w:val="Guidance"/>
      </w:pPr>
      <w:r>
        <w:t xml:space="preserve">Developer screening is directed at external developers; in-house developers are screened under PS-3, as NIST’s SA-21 discussion notes. The discussion lists clearances, background checks, citizenship and nationality as criteria, and says trustworthiness can also cover the company’s ownership and relationships. It adds that the developer provides a list of all individuals authorized to do development work, so the organization can check each has been screened. Outside the federal government,</w:t>
      </w:r>
      <w:r>
        <w:t xml:space="preserve"> </w:t>
      </w:r>
      <w:r>
        <w:t xml:space="preserve">“official government duties”</w:t>
      </w:r>
      <w:r>
        <w:t xml:space="preserve"> </w:t>
      </w:r>
      <w:r>
        <w:t xml:space="preserve">reads as the duties the organization assigns.</w:t>
      </w:r>
    </w:p>
    <w:p>
      <w:pPr>
        <w:pStyle w:val="Compact"/>
        <w:numPr>
          <w:ilvl w:val="0"/>
          <w:numId w:val="1029"/>
        </w:numPr>
      </w:pPr>
      <w:r>
        <w:t xml:space="preserve">The</w:t>
      </w:r>
      <w:r>
        <w:t xml:space="preserve"> </w:t>
      </w:r>
      <w:r>
        <w:rPr>
          <w:rStyle w:val="Fill-in"/>
        </w:rPr>
        <w:t xml:space="preserve">[System owner]</w:t>
      </w:r>
      <w:r>
        <w:t xml:space="preserve"> </w:t>
      </w:r>
      <w:r>
        <w:t xml:space="preserve">shall require that the developer of</w:t>
      </w:r>
      <w:r>
        <w:t xml:space="preserve"> </w:t>
      </w:r>
      <w:r>
        <w:rPr>
          <w:rStyle w:val="Fill-in"/>
        </w:rPr>
        <w:t xml:space="preserve">[Fill in: the system, systems component, or system service that the developer has access to. Typical: the system and any of its components where the developer has privileged access, access to source code or build systems, or access to the information the system processes]</w:t>
      </w:r>
      <w:r>
        <w:t xml:space="preserve"> </w:t>
      </w:r>
      <w:r>
        <w:t xml:space="preserve">has appropriate access authorizations, as determined by assigned</w:t>
      </w:r>
      <w:r>
        <w:t xml:space="preserve"> </w:t>
      </w:r>
      <w:r>
        <w:rPr>
          <w:rStyle w:val="Fill-in"/>
        </w:rPr>
        <w:t xml:space="preserve">[Fill in: official government duties assigned to the developer. Typical: the duties assigned to each developer’s personnel, designated at the same position risk or sensitivity level as organizational staff with equivalent access (PS-2)]</w:t>
      </w:r>
      <w:r>
        <w:t xml:space="preserve">. (SA-21a)</w:t>
      </w:r>
    </w:p>
    <w:p>
      <w:pPr>
        <w:pStyle w:val="Compact"/>
        <w:numPr>
          <w:ilvl w:val="0"/>
          <w:numId w:val="1029"/>
        </w:numPr>
      </w:pPr>
      <w:r>
        <w:t xml:space="preserve">The</w:t>
      </w:r>
      <w:r>
        <w:t xml:space="preserve"> </w:t>
      </w:r>
      <w:r>
        <w:rPr>
          <w:rStyle w:val="Fill-in"/>
        </w:rPr>
        <w:t xml:space="preserve">[System owner]</w:t>
      </w:r>
      <w:r>
        <w:t xml:space="preserve"> </w:t>
      </w:r>
      <w:r>
        <w:t xml:space="preserve">shall require that the developer satisfies the following additional personnel screening criteria:</w:t>
      </w:r>
      <w:r>
        <w:t xml:space="preserve"> </w:t>
      </w:r>
      <w:r>
        <w:rPr>
          <w:rStyle w:val="Fill-in"/>
        </w:rPr>
        <w:t xml:space="preserve">[Fill in: additional personnel screening criteria for the developer. Typical: screening to the same criteria as organizational staff in comparable positions (PS-3), and a current list of every individual authorized to perform development work, provided before work starts and when it changes]</w:t>
      </w:r>
      <w:r>
        <w:t xml:space="preserve">. (SA-21b)</w:t>
      </w:r>
    </w:p>
    <w:p>
      <w:pPr>
        <w:pStyle w:val="Compact"/>
        <w:numPr>
          <w:ilvl w:val="0"/>
          <w:numId w:val="1029"/>
        </w:numPr>
      </w:pPr>
      <w:r>
        <w:t xml:space="preserve">The</w:t>
      </w:r>
      <w:r>
        <w:t xml:space="preserve"> </w:t>
      </w:r>
      <w:r>
        <w:rPr>
          <w:rStyle w:val="Fill-in"/>
        </w:rPr>
        <w:t xml:space="preserve">[System owner]</w:t>
      </w:r>
      <w:r>
        <w:t xml:space="preserve"> </w:t>
      </w:r>
      <w:r>
        <w:t xml:space="preserve">shall put these requirements in the development contract, and check the developer’s list of authorized individuals against the screening records before granting access. (SA-21)</w:t>
      </w:r>
    </w:p>
    <w:bookmarkEnd w:id="56"/>
    <w:bookmarkStart w:id="60" w:name="unsupported-system-components-sa-22"/>
    <w:p>
      <w:pPr>
        <w:pStyle w:val="Heading3"/>
      </w:pPr>
      <w:r>
        <w:t xml:space="preserve">Unsupported system components (SA-22)</w:t>
      </w:r>
    </w:p>
    <w:p>
      <w:pPr>
        <w:pStyle w:val="Guidance"/>
      </w:pPr>
      <w:r>
        <w:t xml:space="preserve">An unsupported component gets no security updates, so each new vulnerability in it stays open. NIST’s SA-22 discussion allows exceptions only where no newer technology exists for a critical capability or the system is too isolated to replace, and suggests isolation, such as no connection to public or uncontrolled networks, to reduce the risk. Track each component’s end-of-support date in the component inventory (CM-8), and treat an unsupported component as a flaw under the</w:t>
      </w:r>
      <w:r>
        <w:t xml:space="preserve"> </w:t>
      </w:r>
      <w:hyperlink r:id="rId57">
        <w:r>
          <w:rPr>
            <w:rStyle w:val="Hyperlink"/>
          </w:rPr>
          <w:t xml:space="preserve">patch and flaw remediation standard</w:t>
        </w:r>
      </w:hyperlink>
      <w:r>
        <w:t xml:space="preserve"> </w:t>
      </w:r>
      <w:r>
        <w:t xml:space="preserve">until it is replaced.</w:t>
      </w:r>
    </w:p>
    <w:p>
      <w:pPr>
        <w:pStyle w:val="Compact"/>
        <w:numPr>
          <w:ilvl w:val="0"/>
          <w:numId w:val="1030"/>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030"/>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030"/>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030"/>
        </w:numPr>
      </w:pPr>
      <w:r>
        <w:t xml:space="preserve">The authorizing official shall approve each continued use of an unsupported component, for a set period, with the compensating measures recorded and the replacement tracked in the plan of action and milestones. (SA-22b)</w:t>
      </w:r>
    </w:p>
    <w:bookmarkStart w:id="59" w:name="federal-systems-7"/>
    <w:p>
      <w:pPr>
        <w:pStyle w:val="Heading4"/>
      </w:pPr>
      <w:r>
        <w:t xml:space="preserve">Federal systems</w:t>
      </w:r>
    </w:p>
    <w:p>
      <w:pPr>
        <w:pStyle w:val="FirstParagraph"/>
      </w:pPr>
      <w:hyperlink r:id="rId19">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58">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031"/>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031"/>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031"/>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59"/>
    <w:bookmarkEnd w:id="60"/>
    <w:bookmarkEnd w:id="61"/>
    <w:bookmarkStart w:id="64" w:name="review-and-update"/>
    <w:p>
      <w:pPr>
        <w:pStyle w:val="Heading2"/>
      </w:pPr>
      <w:r>
        <w:t xml:space="preserve">Review and update</w:t>
      </w:r>
    </w:p>
    <w:p>
      <w:pPr>
        <w:pStyle w:val="Compact"/>
        <w:numPr>
          <w:ilvl w:val="0"/>
          <w:numId w:val="1032"/>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services acquisition policy is reviewed and updated. Typical: annually]</w:t>
      </w:r>
      <w:r>
        <w:t xml:space="preserve"> </w:t>
      </w:r>
      <w:r>
        <w:t xml:space="preserve">and following</w:t>
      </w:r>
      <w:r>
        <w:t xml:space="preserve"> </w:t>
      </w:r>
      <w:r>
        <w:rPr>
          <w:rStyle w:val="Fill-in"/>
        </w:rPr>
        <w:t xml:space="preserve">[Fill in: events that would require the current system and services acquisition policy to be reviewed and updated. Typical: assessment or audit findings, security incidents or breaches, and changes in applicable laws, executive orders, directives, regulations, policies, standards or guidelines]</w:t>
      </w:r>
      <w:r>
        <w:t xml:space="preserve">. (SA-1c.1)</w:t>
      </w:r>
    </w:p>
    <w:p>
      <w:pPr>
        <w:pStyle w:val="Compact"/>
        <w:numPr>
          <w:ilvl w:val="0"/>
          <w:numId w:val="1032"/>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services acquisition procedures are reviewed and updated. Typical: annually]</w:t>
      </w:r>
      <w:r>
        <w:t xml:space="preserve"> </w:t>
      </w:r>
      <w:r>
        <w:t xml:space="preserve">and following</w:t>
      </w:r>
      <w:r>
        <w:t xml:space="preserve"> </w:t>
      </w:r>
      <w:r>
        <w:rPr>
          <w:rStyle w:val="Fill-in"/>
        </w:rPr>
        <w:t xml:space="preserve">[Fill in: events that would require the system and services acquisition procedures to be reviewed and updated. Typical: the same events as the policy, and changes to the systems, tools or services the procedures describe]</w:t>
      </w:r>
      <w:r>
        <w:t xml:space="preserve">. (SA-1c.2)</w:t>
      </w:r>
    </w:p>
    <w:bookmarkStart w:id="63" w:name="federal-systems-8"/>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62">
        <w:r>
          <w:rPr>
            <w:rStyle w:val="Hyperlink"/>
          </w:rPr>
          <w:t xml:space="preserve">44 U.S.C. § 3554</w:t>
        </w:r>
      </w:hyperlink>
      <w:r>
        <w:t xml:space="preserve">, Federal agency responsibilities) and</w:t>
      </w:r>
      <w:r>
        <w:t xml:space="preserve"> </w:t>
      </w:r>
      <w:hyperlink r:id="rId19">
        <w:r>
          <w:rPr>
            <w:rStyle w:val="Hyperlink"/>
          </w:rPr>
          <w:t xml:space="preserve">OMB Circular A-130</w:t>
        </w:r>
      </w:hyperlink>
      <w:r>
        <w:t xml:space="preserve">, Appendix I, Responsibilities for Protecting and Managing Federal Information Resources.</w:t>
      </w:r>
    </w:p>
    <w:p>
      <w:pPr>
        <w:pStyle w:val="Compact"/>
        <w:numPr>
          <w:ilvl w:val="0"/>
          <w:numId w:val="1033"/>
        </w:numPr>
      </w:pPr>
      <w:r>
        <w:t xml:space="preserve">Where the agency’s organization-wide policy sets a value for a parameter in this policy, each system shall use that value or a stricter one. (SA-1a.1(b))</w:t>
      </w:r>
    </w:p>
    <w:bookmarkEnd w:id="63"/>
    <w:bookmarkEnd w:id="64"/>
    <w:bookmarkEnd w:id="6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Services Acquisition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4" Target="https://csrc.nist.gov/pubs/fips/201-3/final" TargetMode="External" /><Relationship Type="http://schemas.openxmlformats.org/officeDocument/2006/relationships/hyperlink" Id="rId40" Target="https://csrc.nist.gov/pubs/ir/8062/final" TargetMode="External" /><Relationship Type="http://schemas.openxmlformats.org/officeDocument/2006/relationships/hyperlink" Id="rId25" Target="https://csrc.nist.gov/pubs/sp/800/160/v1/r1/final" TargetMode="External" /><Relationship Type="http://schemas.openxmlformats.org/officeDocument/2006/relationships/hyperlink" Id="rId48" Target="https://csrc.nist.gov/pubs/sp/800/218/final" TargetMode="External" /><Relationship Type="http://schemas.openxmlformats.org/officeDocument/2006/relationships/hyperlink" Id="rId22" Target="https://csrc.nist.gov/pubs/sp/800/37/r2/final" TargetMode="External" /><Relationship Type="http://schemas.openxmlformats.org/officeDocument/2006/relationships/hyperlink" Id="rId43" Target="https://kston83.github.io/nist-guide/templates/forms/external-service-review/" TargetMode="External" /><Relationship Type="http://schemas.openxmlformats.org/officeDocument/2006/relationships/hyperlink" Id="rId42" Target="https://kston83.github.io/nist-guide/templates/forms/information-exchange-agreement/" TargetMode="External" /><Relationship Type="http://schemas.openxmlformats.org/officeDocument/2006/relationships/hyperlink" Id="rId9" Target="https://kston83.github.io/nist-guide/templates/policies/sa/" TargetMode="External" /><Relationship Type="http://schemas.openxmlformats.org/officeDocument/2006/relationships/hyperlink" Id="rId26" Target="https://kston83.github.io/nist-guide/templates/standards/acquisition-security-requirements/" TargetMode="External" /><Relationship Type="http://schemas.openxmlformats.org/officeDocument/2006/relationships/hyperlink" Id="rId57" Target="https://kston83.github.io/nist-guide/templates/standards/patch-and-flaw-remediation-standard/" TargetMode="External" /><Relationship Type="http://schemas.openxmlformats.org/officeDocument/2006/relationships/hyperlink" Id="rId62" Target="https://uscode.house.gov/view.xhtml?req=granuleid:USC-prelim-title44-section3554&amp;num=0&amp;edition=prelim" TargetMode="External" /><Relationship Type="http://schemas.openxmlformats.org/officeDocument/2006/relationships/hyperlink" Id="rId58" Target="https://www.cisa.gov/news-events/directives/bod-26-02-mitigating-risk-end-support-edge-devices" TargetMode="External" /><Relationship Type="http://schemas.openxmlformats.org/officeDocument/2006/relationships/hyperlink" Id="rId44" Target="https://www.fedramp.gov/2026/authority/m-24-15/" TargetMode="External" /><Relationship Type="http://schemas.openxmlformats.org/officeDocument/2006/relationships/hyperlink" Id="rId35" Target="https://www.idmanagement.gov/fips201/" TargetMode="External" /><Relationship Type="http://schemas.openxmlformats.org/officeDocument/2006/relationships/hyperlink" Id="rId27"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4" Target="https://csrc.nist.gov/pubs/fips/201-3/final" TargetMode="External" /><Relationship Type="http://schemas.openxmlformats.org/officeDocument/2006/relationships/hyperlink" Id="rId40" Target="https://csrc.nist.gov/pubs/ir/8062/final" TargetMode="External" /><Relationship Type="http://schemas.openxmlformats.org/officeDocument/2006/relationships/hyperlink" Id="rId25" Target="https://csrc.nist.gov/pubs/sp/800/160/v1/r1/final" TargetMode="External" /><Relationship Type="http://schemas.openxmlformats.org/officeDocument/2006/relationships/hyperlink" Id="rId48" Target="https://csrc.nist.gov/pubs/sp/800/218/final" TargetMode="External" /><Relationship Type="http://schemas.openxmlformats.org/officeDocument/2006/relationships/hyperlink" Id="rId22" Target="https://csrc.nist.gov/pubs/sp/800/37/r2/final" TargetMode="External" /><Relationship Type="http://schemas.openxmlformats.org/officeDocument/2006/relationships/hyperlink" Id="rId43" Target="https://kston83.github.io/nist-guide/templates/forms/external-service-review/" TargetMode="External" /><Relationship Type="http://schemas.openxmlformats.org/officeDocument/2006/relationships/hyperlink" Id="rId42" Target="https://kston83.github.io/nist-guide/templates/forms/information-exchange-agreement/" TargetMode="External" /><Relationship Type="http://schemas.openxmlformats.org/officeDocument/2006/relationships/hyperlink" Id="rId9" Target="https://kston83.github.io/nist-guide/templates/policies/sa/" TargetMode="External" /><Relationship Type="http://schemas.openxmlformats.org/officeDocument/2006/relationships/hyperlink" Id="rId26" Target="https://kston83.github.io/nist-guide/templates/standards/acquisition-security-requirements/" TargetMode="External" /><Relationship Type="http://schemas.openxmlformats.org/officeDocument/2006/relationships/hyperlink" Id="rId57" Target="https://kston83.github.io/nist-guide/templates/standards/patch-and-flaw-remediation-standard/" TargetMode="External" /><Relationship Type="http://schemas.openxmlformats.org/officeDocument/2006/relationships/hyperlink" Id="rId62" Target="https://uscode.house.gov/view.xhtml?req=granuleid:USC-prelim-title44-section3554&amp;num=0&amp;edition=prelim" TargetMode="External" /><Relationship Type="http://schemas.openxmlformats.org/officeDocument/2006/relationships/hyperlink" Id="rId58" Target="https://www.cisa.gov/news-events/directives/bod-26-02-mitigating-risk-end-support-edge-devices" TargetMode="External" /><Relationship Type="http://schemas.openxmlformats.org/officeDocument/2006/relationships/hyperlink" Id="rId44" Target="https://www.fedramp.gov/2026/authority/m-24-15/" TargetMode="External" /><Relationship Type="http://schemas.openxmlformats.org/officeDocument/2006/relationships/hyperlink" Id="rId35" Target="https://www.idmanagement.gov/fips201/" TargetMode="External" /><Relationship Type="http://schemas.openxmlformats.org/officeDocument/2006/relationships/hyperlink" Id="rId27"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