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53" w:name="policy-statements"/>
    <w:p>
      <w:pPr>
        <w:pStyle w:val="Heading2"/>
      </w:pPr>
      <w:r>
        <w:t xml:space="preserve">Policy statements</w:t>
      </w:r>
    </w:p>
    <w:bookmarkStart w:id="21" w:name="allocation-of-resources-sa-2"/>
    <w:p>
      <w:pPr>
        <w:pStyle w:val="Heading3"/>
      </w:pPr>
      <w:r>
        <w:t xml:space="preserve">Allocation of resources (SA-2)</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3" w:name="system-development-life-cycle-sa-3"/>
    <w:p>
      <w:pPr>
        <w:pStyle w:val="Heading3"/>
      </w:pPr>
      <w:r>
        <w:t xml:space="preserve">System development life cycle (SA-3)</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2"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2"/>
    <w:bookmarkEnd w:id="23"/>
    <w:bookmarkStart w:id="26" w:name="acquisition-process-sa-4"/>
    <w:p>
      <w:pPr>
        <w:pStyle w:val="Heading3"/>
      </w:pPr>
      <w:r>
        <w:t xml:space="preserve">Acquisition process (SA-4)</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25"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4">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5"/>
    <w:bookmarkEnd w:id="26"/>
    <w:bookmarkStart w:id="27" w:name="functional-properties-of-controls-sa-41"/>
    <w:p>
      <w:pPr>
        <w:pStyle w:val="Heading3"/>
      </w:pPr>
      <w:r>
        <w:t xml:space="preserve">Functional properties of controls (SA-4(1))</w:t>
      </w:r>
    </w:p>
    <w:p>
      <w:pPr>
        <w:pStyle w:val="Compact"/>
        <w:numPr>
          <w:ilvl w:val="0"/>
          <w:numId w:val="101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01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27"/>
    <w:bookmarkStart w:id="28" w:name="Xeb2695f3a63295baa6033de0dbfa99d3267a330"/>
    <w:p>
      <w:pPr>
        <w:pStyle w:val="Heading3"/>
      </w:pPr>
      <w:r>
        <w:t xml:space="preserve">Design and implementation information for controls (SA-4(2))</w:t>
      </w:r>
    </w:p>
    <w:p>
      <w:pPr>
        <w:pStyle w:val="Compact"/>
        <w:numPr>
          <w:ilvl w:val="0"/>
          <w:numId w:val="101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28"/>
    <w:bookmarkStart w:id="29" w:name="X6153170058262b5c75c6cbef6dc538c339ee621"/>
    <w:p>
      <w:pPr>
        <w:pStyle w:val="Heading3"/>
      </w:pPr>
      <w:r>
        <w:t xml:space="preserve">System, component and service configurations (SA-4(5))</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of the system, system component or system service to deliver it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(SA-4(5)(a))</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to use those configurations as the default for any later reinstallation or upgrade of the system, component or service. (SA-4(5)(b))</w:t>
      </w:r>
    </w:p>
    <w:bookmarkEnd w:id="29"/>
    <w:bookmarkStart w:id="30" w:name="X419771c8249d4b966b57f8f8e7faaee7f35c9c4"/>
    <w:p>
      <w:pPr>
        <w:pStyle w:val="Heading3"/>
      </w:pPr>
      <w:r>
        <w:t xml:space="preserve">Functions, ports, protocols and services in use (SA-4(9))</w:t>
      </w:r>
    </w:p>
    <w:p>
      <w:pPr>
        <w:pStyle w:val="Compact"/>
        <w:numPr>
          <w:ilvl w:val="0"/>
          <w:numId w:val="1013"/>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013"/>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30"/>
    <w:bookmarkStart w:id="34" w:name="use-of-approved-piv-products-sa-410"/>
    <w:p>
      <w:pPr>
        <w:pStyle w:val="Heading3"/>
      </w:pPr>
      <w:r>
        <w:t xml:space="preserve">Use of approved PIV products (SA-4(10))</w:t>
      </w:r>
    </w:p>
    <w:p>
      <w:pPr>
        <w:pStyle w:val="Compact"/>
        <w:numPr>
          <w:ilvl w:val="0"/>
          <w:numId w:val="1014"/>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4"/>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3" w:name="federal-systems-3"/>
    <w:p>
      <w:pPr>
        <w:pStyle w:val="Heading4"/>
      </w:pPr>
      <w:r>
        <w:t xml:space="preserve">Federal systems</w:t>
      </w:r>
    </w:p>
    <w:p>
      <w:pPr>
        <w:pStyle w:val="FirstParagraph"/>
      </w:pPr>
      <w:hyperlink r:id="rId31">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2">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5"/>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3"/>
    <w:bookmarkEnd w:id="34"/>
    <w:bookmarkStart w:id="36" w:name="system-documentation-sa-5"/>
    <w:p>
      <w:pPr>
        <w:pStyle w:val="Heading3"/>
      </w:pPr>
      <w:r>
        <w:t xml:space="preserve">System documentation (SA-5)</w:t>
      </w:r>
    </w:p>
    <w:p>
      <w:pPr>
        <w:pStyle w:val="Compact"/>
        <w:numPr>
          <w:ilvl w:val="0"/>
          <w:numId w:val="1016"/>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6"/>
        </w:numPr>
      </w:pPr>
      <w:r>
        <w:t xml:space="preserve">The administrator documentation shall describe the effective use and maintenance of the security and privacy functions and mechanisms. (SA-5a.2)</w:t>
      </w:r>
    </w:p>
    <w:p>
      <w:pPr>
        <w:pStyle w:val="Compact"/>
        <w:numPr>
          <w:ilvl w:val="0"/>
          <w:numId w:val="1016"/>
        </w:numPr>
      </w:pPr>
      <w:r>
        <w:t xml:space="preserve">The administrator documentation shall describe known vulnerabilities regarding the configuration and use of administrative or privileged functions. (SA-5a.3)</w:t>
      </w:r>
    </w:p>
    <w:p>
      <w:pPr>
        <w:pStyle w:val="Compact"/>
        <w:numPr>
          <w:ilvl w:val="0"/>
          <w:numId w:val="1016"/>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6"/>
        </w:numPr>
      </w:pPr>
      <w:r>
        <w:t xml:space="preserve">The user documentation shall describe methods of user interaction that let individuals use the system, component or service more securely and protect individual privacy. (SA-5b.2)</w:t>
      </w:r>
    </w:p>
    <w:p>
      <w:pPr>
        <w:pStyle w:val="Compact"/>
        <w:numPr>
          <w:ilvl w:val="0"/>
          <w:numId w:val="1016"/>
        </w:numPr>
      </w:pPr>
      <w:r>
        <w:t xml:space="preserve">The user documentation shall describe users’ responsibilities for maintaining the security of the system, component or service and the privacy of individuals. (SA-5b.3)</w:t>
      </w:r>
    </w:p>
    <w:p>
      <w:pPr>
        <w:pStyle w:val="Compact"/>
        <w:numPr>
          <w:ilvl w:val="0"/>
          <w:numId w:val="1016"/>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6"/>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6"/>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5"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7"/>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5"/>
    <w:bookmarkEnd w:id="36"/>
    <w:bookmarkStart w:id="37" w:name="X8083db2fed54f34e7396f7a6baa5c8a26be9932"/>
    <w:p>
      <w:pPr>
        <w:pStyle w:val="Heading3"/>
      </w:pPr>
      <w:r>
        <w:t xml:space="preserve">Security and privacy engineering principles (SA-8)</w:t>
      </w:r>
    </w:p>
    <w:p>
      <w:pPr>
        <w:pStyle w:val="Compact"/>
        <w:numPr>
          <w:ilvl w:val="0"/>
          <w:numId w:val="1018"/>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8"/>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8"/>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7"/>
    <w:bookmarkStart w:id="40" w:name="external-system-services-sa-9"/>
    <w:p>
      <w:pPr>
        <w:pStyle w:val="Heading3"/>
      </w:pPr>
      <w:r>
        <w:t xml:space="preserve">External system services (SA-9)</w:t>
      </w:r>
    </w:p>
    <w:p>
      <w:pPr>
        <w:pStyle w:val="Compact"/>
        <w:numPr>
          <w:ilvl w:val="0"/>
          <w:numId w:val="1019"/>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9"/>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9"/>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9"/>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9"/>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9"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8">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20"/>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9"/>
    <w:bookmarkEnd w:id="40"/>
    <w:bookmarkStart w:id="41" w:name="Xd6df5f3fd4538438d02383c00072d5041800588"/>
    <w:p>
      <w:pPr>
        <w:pStyle w:val="Heading3"/>
      </w:pPr>
      <w:r>
        <w:t xml:space="preserve">Identification of functions, ports, protocols and services (SA-9(2))</w:t>
      </w:r>
    </w:p>
    <w:p>
      <w:pPr>
        <w:pStyle w:val="Compact"/>
        <w:numPr>
          <w:ilvl w:val="0"/>
          <w:numId w:val="1021"/>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021"/>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1"/>
    <w:bookmarkStart w:id="42" w:name="developer-configuration-management-sa-10"/>
    <w:p>
      <w:pPr>
        <w:pStyle w:val="Heading3"/>
      </w:pPr>
      <w:r>
        <w:t xml:space="preserve">Developer configuration management (SA-10)</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022"/>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2"/>
    <w:bookmarkStart w:id="43" w:name="developer-testing-and-evaluation-sa-11"/>
    <w:p>
      <w:pPr>
        <w:pStyle w:val="Heading3"/>
      </w:pPr>
      <w:r>
        <w:t xml:space="preserve">Developer testing and evaluation (SA-11)</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23"/>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3"/>
    <w:bookmarkStart w:id="45" w:name="X6c372991e8355ceafe78d2a196061eca40c183e"/>
    <w:p>
      <w:pPr>
        <w:pStyle w:val="Heading3"/>
      </w:pPr>
      <w:r>
        <w:t xml:space="preserve">Development process, standards and tools (SA-15)</w:t>
      </w:r>
    </w:p>
    <w:p>
      <w:pPr>
        <w:pStyle w:val="Compact"/>
        <w:numPr>
          <w:ilvl w:val="0"/>
          <w:numId w:val="1024"/>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024"/>
        </w:numPr>
      </w:pPr>
      <w:r>
        <w:t xml:space="preserve">The documented process shall identify the standards and tools used in the development process. (SA-15a.2)</w:t>
      </w:r>
    </w:p>
    <w:p>
      <w:pPr>
        <w:pStyle w:val="Compact"/>
        <w:numPr>
          <w:ilvl w:val="0"/>
          <w:numId w:val="1024"/>
        </w:numPr>
      </w:pPr>
      <w:r>
        <w:t xml:space="preserve">The documented process shall document the specific tool options and tool configurations used in the development process. (SA-15a.3)</w:t>
      </w:r>
    </w:p>
    <w:p>
      <w:pPr>
        <w:pStyle w:val="Compact"/>
        <w:numPr>
          <w:ilvl w:val="0"/>
          <w:numId w:val="1024"/>
        </w:numPr>
      </w:pPr>
      <w:r>
        <w:t xml:space="preserve">The documented process shall document, manage and ensure the integrity of changes to the process and the tools used in development. (SA-15a.4)</w:t>
      </w:r>
    </w:p>
    <w:p>
      <w:pPr>
        <w:pStyle w:val="Compact"/>
        <w:numPr>
          <w:ilvl w:val="0"/>
          <w:numId w:val="1024"/>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24"/>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44" w:name="federal-systems-6"/>
    <w:p>
      <w:pPr>
        <w:pStyle w:val="Heading4"/>
      </w:pPr>
      <w:r>
        <w:t xml:space="preserve">Federal systems</w:t>
      </w:r>
    </w:p>
    <w:p>
      <w:pPr>
        <w:pStyle w:val="FirstParagraph"/>
      </w:pPr>
      <w:hyperlink r:id="rId24">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025"/>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44"/>
    <w:bookmarkEnd w:id="45"/>
    <w:bookmarkStart w:id="46" w:name="criticality-analysis-sa-153"/>
    <w:p>
      <w:pPr>
        <w:pStyle w:val="Heading3"/>
      </w:pPr>
      <w:r>
        <w:t xml:space="preserve">Criticality analysis (SA-15(3))</w:t>
      </w:r>
    </w:p>
    <w:p>
      <w:pPr>
        <w:pStyle w:val="Compact"/>
        <w:numPr>
          <w:ilvl w:val="0"/>
          <w:numId w:val="1026"/>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026"/>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026"/>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46"/>
    <w:bookmarkStart w:id="47" w:name="developer-provided-training-sa-16"/>
    <w:p>
      <w:pPr>
        <w:pStyle w:val="Heading3"/>
      </w:pPr>
      <w:r>
        <w:t xml:space="preserve">Developer-provided training (SA-16)</w:t>
      </w:r>
    </w:p>
    <w:p>
      <w:pPr>
        <w:pStyle w:val="Compact"/>
        <w:numPr>
          <w:ilvl w:val="0"/>
          <w:numId w:val="1027"/>
        </w:numPr>
      </w:pPr>
      <w:r>
        <w:t xml:space="preserve">The</w:t>
      </w:r>
      <w:r>
        <w:t xml:space="preserve"> </w:t>
      </w:r>
      <w:r>
        <w:rPr>
          <w:rStyle w:val="Fill-in"/>
        </w:rPr>
        <w:t xml:space="preserve">[System owner]</w:t>
      </w:r>
      <w:r>
        <w:t xml:space="preserve"> </w:t>
      </w:r>
      <w:r>
        <w:t xml:space="preserve">shall require the developer of the system, system component or system service to provide</w:t>
      </w:r>
      <w:r>
        <w:t xml:space="preserve"> </w:t>
      </w:r>
      <w:r>
        <w:rPr>
          <w:rStyle w:val="Fill-in"/>
        </w:rPr>
        <w:t xml:space="preserve">[Fill in: training on the correct use and operation of the implemented security and privacy functions, controls, and/or mechanisms provided by the developer of the system, system component, or system service. Typical: role-based training for the system’s administrators and security staff on configuring, operating and monitoring the security and privacy functions the developer provides, before the system goes into operation and after each major release, with materials the organization may reuse for in-house training]</w:t>
      </w:r>
      <w:r>
        <w:t xml:space="preserve"> </w:t>
      </w:r>
      <w:r>
        <w:t xml:space="preserve">on the correct use and operation of the implemented security and privacy functions, controls and mechanisms. (SA-16)</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personnel who operate those functions complete the training before they are given the related privileges. (SA-16)</w:t>
      </w:r>
    </w:p>
    <w:bookmarkEnd w:id="47"/>
    <w:bookmarkStart w:id="48" w:name="X677648c3cb9a3c3fc81499866107721affe1dc9"/>
    <w:p>
      <w:pPr>
        <w:pStyle w:val="Heading3"/>
      </w:pPr>
      <w:r>
        <w:t xml:space="preserve">Developer security and privacy architecture and design (SA-17)</w:t>
      </w:r>
    </w:p>
    <w:p>
      <w:pPr>
        <w:pStyle w:val="Compact"/>
        <w:numPr>
          <w:ilvl w:val="0"/>
          <w:numId w:val="1028"/>
        </w:numPr>
      </w:pPr>
      <w:r>
        <w:t xml:space="preserve">The</w:t>
      </w:r>
      <w:r>
        <w:t xml:space="preserve"> </w:t>
      </w:r>
      <w:r>
        <w:rPr>
          <w:rStyle w:val="Fill-in"/>
        </w:rPr>
        <w:t xml:space="preserve">[System owner]</w:t>
      </w:r>
      <w:r>
        <w:t xml:space="preserve"> </w:t>
      </w:r>
      <w:r>
        <w:t xml:space="preserve">shall require the developer of the system, system component or system service to produce a design specification and security and privacy architecture that is consistent with the organization’s security and privacy architecture, as an integral part of the organization’s enterprise architecture (PL-8). (SA-17a)</w:t>
      </w:r>
    </w:p>
    <w:p>
      <w:pPr>
        <w:pStyle w:val="Compact"/>
        <w:numPr>
          <w:ilvl w:val="0"/>
          <w:numId w:val="1028"/>
        </w:numPr>
      </w:pPr>
      <w:r>
        <w:t xml:space="preserve">The design specification and architecture shall accurately and completely describe the required security and privacy functionality, and the allocation of controls among physical and logical components. (SA-17b)</w:t>
      </w:r>
    </w:p>
    <w:p>
      <w:pPr>
        <w:pStyle w:val="Compact"/>
        <w:numPr>
          <w:ilvl w:val="0"/>
          <w:numId w:val="1028"/>
        </w:numPr>
      </w:pPr>
      <w:r>
        <w:t xml:space="preserve">The design specification and architecture shall express how the individual security and privacy functions, mechanisms and services work together to provide the required security and privacy capabilities and a unified approach to protection. (SA-17c)</w:t>
      </w:r>
    </w:p>
    <w:p>
      <w:pPr>
        <w:pStyle w:val="Compact"/>
        <w:numPr>
          <w:ilvl w:val="0"/>
          <w:numId w:val="1028"/>
        </w:numPr>
      </w:pPr>
      <w:r>
        <w:t xml:space="preserve">The</w:t>
      </w:r>
      <w:r>
        <w:t xml:space="preserve"> </w:t>
      </w:r>
      <w:r>
        <w:rPr>
          <w:rStyle w:val="Fill-in"/>
        </w:rPr>
        <w:t xml:space="preserve">[System owner]</w:t>
      </w:r>
      <w:r>
        <w:t xml:space="preserve"> </w:t>
      </w:r>
      <w:r>
        <w:t xml:space="preserve">shall have the design specification and architecture reviewed by the security architect and, for a system that processes personally identifiable information, the</w:t>
      </w:r>
      <w:r>
        <w:t xml:space="preserve"> </w:t>
      </w:r>
      <w:r>
        <w:rPr>
          <w:rStyle w:val="Fill-in"/>
        </w:rPr>
        <w:t xml:space="preserve">[Senior privacy official]</w:t>
      </w:r>
      <w:r>
        <w:t xml:space="preserve">, before the design is accepted. (SA-17)</w:t>
      </w:r>
    </w:p>
    <w:bookmarkEnd w:id="48"/>
    <w:bookmarkStart w:id="49" w:name="developer-screening-sa-21"/>
    <w:p>
      <w:pPr>
        <w:pStyle w:val="Heading3"/>
      </w:pPr>
      <w:r>
        <w:t xml:space="preserve">Developer screening (SA-21)</w:t>
      </w:r>
    </w:p>
    <w:p>
      <w:pPr>
        <w:pStyle w:val="Compact"/>
        <w:numPr>
          <w:ilvl w:val="0"/>
          <w:numId w:val="1029"/>
        </w:numPr>
      </w:pPr>
      <w:r>
        <w:t xml:space="preserve">The</w:t>
      </w:r>
      <w:r>
        <w:t xml:space="preserve"> </w:t>
      </w:r>
      <w:r>
        <w:rPr>
          <w:rStyle w:val="Fill-in"/>
        </w:rPr>
        <w:t xml:space="preserve">[System owner]</w:t>
      </w:r>
      <w:r>
        <w:t xml:space="preserve"> </w:t>
      </w:r>
      <w:r>
        <w:t xml:space="preserve">shall require that the developer of</w:t>
      </w:r>
      <w:r>
        <w:t xml:space="preserve"> </w:t>
      </w:r>
      <w:r>
        <w:rPr>
          <w:rStyle w:val="Fill-in"/>
        </w:rPr>
        <w:t xml:space="preserve">[Fill in: the system, systems component, or system service that the developer has access to. Typical: the system and any of its components where the developer has privileged access, access to source code or build systems, or access to the information the system processes]</w:t>
      </w:r>
      <w:r>
        <w:t xml:space="preserve"> </w:t>
      </w:r>
      <w:r>
        <w:t xml:space="preserve">has appropriate access authorizations, as determined by assigned</w:t>
      </w:r>
      <w:r>
        <w:t xml:space="preserve"> </w:t>
      </w:r>
      <w:r>
        <w:rPr>
          <w:rStyle w:val="Fill-in"/>
        </w:rPr>
        <w:t xml:space="preserve">[Fill in: official government duties assigned to the developer. Typical: the duties assigned to each developer’s personnel, designated at the same position risk or sensitivity level as organizational staff with equivalent access (PS-2)]</w:t>
      </w:r>
      <w:r>
        <w:t xml:space="preserve">. (SA-21a)</w:t>
      </w:r>
    </w:p>
    <w:p>
      <w:pPr>
        <w:pStyle w:val="Compact"/>
        <w:numPr>
          <w:ilvl w:val="0"/>
          <w:numId w:val="1029"/>
        </w:numPr>
      </w:pPr>
      <w:r>
        <w:t xml:space="preserve">The</w:t>
      </w:r>
      <w:r>
        <w:t xml:space="preserve"> </w:t>
      </w:r>
      <w:r>
        <w:rPr>
          <w:rStyle w:val="Fill-in"/>
        </w:rPr>
        <w:t xml:space="preserve">[System owner]</w:t>
      </w:r>
      <w:r>
        <w:t xml:space="preserve"> </w:t>
      </w:r>
      <w:r>
        <w:t xml:space="preserve">shall require that the developer satisfies the following additional personnel screening criteria:</w:t>
      </w:r>
      <w:r>
        <w:t xml:space="preserve"> </w:t>
      </w:r>
      <w:r>
        <w:rPr>
          <w:rStyle w:val="Fill-in"/>
        </w:rPr>
        <w:t xml:space="preserve">[Fill in: additional personnel screening criteria for the developer. Typical: screening to the same criteria as organizational staff in comparable positions (PS-3), and a current list of every individual authorized to perform development work, provided before work starts and when it changes]</w:t>
      </w:r>
      <w:r>
        <w:t xml:space="preserve">. (SA-21b)</w:t>
      </w:r>
    </w:p>
    <w:p>
      <w:pPr>
        <w:pStyle w:val="Compact"/>
        <w:numPr>
          <w:ilvl w:val="0"/>
          <w:numId w:val="1029"/>
        </w:numPr>
      </w:pPr>
      <w:r>
        <w:t xml:space="preserve">The</w:t>
      </w:r>
      <w:r>
        <w:t xml:space="preserve"> </w:t>
      </w:r>
      <w:r>
        <w:rPr>
          <w:rStyle w:val="Fill-in"/>
        </w:rPr>
        <w:t xml:space="preserve">[System owner]</w:t>
      </w:r>
      <w:r>
        <w:t xml:space="preserve"> </w:t>
      </w:r>
      <w:r>
        <w:t xml:space="preserve">shall put these requirements in the development contract, and check the developer’s list of authorized individuals against the screening records before granting access. (SA-21)</w:t>
      </w:r>
    </w:p>
    <w:bookmarkEnd w:id="49"/>
    <w:bookmarkStart w:id="52" w:name="unsupported-system-components-sa-22"/>
    <w:p>
      <w:pPr>
        <w:pStyle w:val="Heading3"/>
      </w:pPr>
      <w:r>
        <w:t xml:space="preserve">Unsupported system components (SA-22)</w:t>
      </w:r>
    </w:p>
    <w:p>
      <w:pPr>
        <w:pStyle w:val="Compact"/>
        <w:numPr>
          <w:ilvl w:val="0"/>
          <w:numId w:val="1030"/>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30"/>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30"/>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30"/>
        </w:numPr>
      </w:pPr>
      <w:r>
        <w:t xml:space="preserve">The authorizing official shall approve each continued use of an unsupported component, for a set period, with the compensating measures recorded and the replacement tracked in the plan of action and milestones. (SA-22b)</w:t>
      </w:r>
    </w:p>
    <w:bookmarkStart w:id="51" w:name="federal-systems-7"/>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50">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31"/>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31"/>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31"/>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51"/>
    <w:bookmarkEnd w:id="52"/>
    <w:bookmarkEnd w:id="53"/>
    <w:bookmarkStart w:id="56" w:name="review-and-update"/>
    <w:p>
      <w:pPr>
        <w:pStyle w:val="Heading2"/>
      </w:pPr>
      <w:r>
        <w:t xml:space="preserve">Review and update</w:t>
      </w:r>
    </w:p>
    <w:p>
      <w:pPr>
        <w:pStyle w:val="Compact"/>
        <w:numPr>
          <w:ilvl w:val="0"/>
          <w:numId w:val="1032"/>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32"/>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55" w:name="federal-systems-8"/>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4">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33"/>
        </w:numPr>
      </w:pPr>
      <w:r>
        <w:t xml:space="preserve">Where the agency’s organization-wide policy sets a value for a parameter in this policy, each system shall use that value or a stricter one. (SA-1a.1(b))</w:t>
      </w:r>
    </w:p>
    <w:bookmarkEnd w:id="55"/>
    <w:bookmarkEnd w:id="56"/>
    <w:bookmarkEnd w:id="5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50" Target="https://www.cisa.gov/news-events/directives/bod-26-02-mitigating-risk-end-support-edge-devices" TargetMode="External" /><Relationship Type="http://schemas.openxmlformats.org/officeDocument/2006/relationships/hyperlink" Id="rId38" Target="https://www.fedramp.gov/2026/authority/m-24-15/" TargetMode="External" /><Relationship Type="http://schemas.openxmlformats.org/officeDocument/2006/relationships/hyperlink" Id="rId32"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1"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50" Target="https://www.cisa.gov/news-events/directives/bod-26-02-mitigating-risk-end-support-edge-devices" TargetMode="External" /><Relationship Type="http://schemas.openxmlformats.org/officeDocument/2006/relationships/hyperlink" Id="rId38" Target="https://www.fedramp.gov/2026/authority/m-24-15/" TargetMode="External" /><Relationship Type="http://schemas.openxmlformats.org/officeDocument/2006/relationships/hyperlink" Id="rId32"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