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4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allocation-of-resources-sa-2"/>
    <w:p>
      <w:pPr>
        <w:pStyle w:val="Heading3"/>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4" w:name="system-development-life-cycle-sa-3"/>
    <w:p>
      <w:pPr>
        <w:pStyle w:val="Heading3"/>
      </w:pPr>
      <w:r>
        <w:t xml:space="preserve">System development life cycle (SA-3)</w:t>
      </w:r>
    </w:p>
    <w:p>
      <w:pPr>
        <w:pStyle w:val="Guidance"/>
      </w:pPr>
      <w:r>
        <w:t xml:space="preserve">The system development life cycle (SDLC) is where the Risk Management Framework’s tasks happen: NIST SP 800-37 Rev. 2 (</w:t>
      </w:r>
      <w:hyperlink r:id="rId22">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3"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3"/>
    <w:bookmarkEnd w:id="24"/>
    <w:bookmarkStart w:id="29" w:name="acquisition-process-sa-4"/>
    <w:p>
      <w:pPr>
        <w:pStyle w:val="Heading3"/>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5">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6">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8"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8"/>
    <w:bookmarkEnd w:id="29"/>
    <w:bookmarkStart w:id="33" w:name="use-of-approved-piv-products-sa-410"/>
    <w:p>
      <w:pPr>
        <w:pStyle w:val="Heading3"/>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010"/>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0"/>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2" w:name="federal-systems-3"/>
    <w:p>
      <w:pPr>
        <w:pStyle w:val="Heading4"/>
      </w:pPr>
      <w:r>
        <w:t xml:space="preserve">Federal systems</w:t>
      </w:r>
    </w:p>
    <w:p>
      <w:pPr>
        <w:pStyle w:val="FirstParagraph"/>
      </w:pPr>
      <w:hyperlink r:id="rId30">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1">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2"/>
    <w:bookmarkEnd w:id="33"/>
    <w:bookmarkStart w:id="35" w:name="system-documentation-sa-5"/>
    <w:p>
      <w:pPr>
        <w:pStyle w:val="Heading3"/>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012"/>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2"/>
        </w:numPr>
      </w:pPr>
      <w:r>
        <w:t xml:space="preserve">The administrator documentation shall describe the effective use and maintenance of the security and privacy functions and mechanisms. (SA-5a.2)</w:t>
      </w:r>
    </w:p>
    <w:p>
      <w:pPr>
        <w:pStyle w:val="Compact"/>
        <w:numPr>
          <w:ilvl w:val="0"/>
          <w:numId w:val="1012"/>
        </w:numPr>
      </w:pPr>
      <w:r>
        <w:t xml:space="preserve">The administrator documentation shall describe known vulnerabilities regarding the configuration and use of administrative or privileged functions. (SA-5a.3)</w:t>
      </w:r>
    </w:p>
    <w:p>
      <w:pPr>
        <w:pStyle w:val="Compact"/>
        <w:numPr>
          <w:ilvl w:val="0"/>
          <w:numId w:val="1012"/>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2"/>
        </w:numPr>
      </w:pPr>
      <w:r>
        <w:t xml:space="preserve">The user documentation shall describe methods of user interaction that let individuals use the system, component or service more securely and protect individual privacy. (SA-5b.2)</w:t>
      </w:r>
    </w:p>
    <w:p>
      <w:pPr>
        <w:pStyle w:val="Compact"/>
        <w:numPr>
          <w:ilvl w:val="0"/>
          <w:numId w:val="1012"/>
        </w:numPr>
      </w:pPr>
      <w:r>
        <w:t xml:space="preserve">The user documentation shall describe users’ responsibilities for maintaining the security of the system, component or service and the privacy of individuals. (SA-5b.3)</w:t>
      </w:r>
    </w:p>
    <w:p>
      <w:pPr>
        <w:pStyle w:val="Compact"/>
        <w:numPr>
          <w:ilvl w:val="0"/>
          <w:numId w:val="1012"/>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2"/>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2"/>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4"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4"/>
    <w:bookmarkEnd w:id="35"/>
    <w:bookmarkStart w:id="37" w:name="X8083db2fed54f34e7396f7a6baa5c8a26be9932"/>
    <w:p>
      <w:pPr>
        <w:pStyle w:val="Heading3"/>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25">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36">
        <w:r>
          <w:rPr>
            <w:rStyle w:val="Hyperlink"/>
          </w:rPr>
          <w:t xml:space="preserve">January 2017</w:t>
        </w:r>
      </w:hyperlink>
      <w:r>
        <w:t xml:space="preserve">, current as of September 2026), sets out three privacy engineering objectives.</w:t>
      </w:r>
    </w:p>
    <w:p>
      <w:pPr>
        <w:pStyle w:val="Compact"/>
        <w:numPr>
          <w:ilvl w:val="0"/>
          <w:numId w:val="1014"/>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4"/>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4"/>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7"/>
    <w:bookmarkStart w:id="42" w:name="external-system-services-sa-9"/>
    <w:p>
      <w:pPr>
        <w:pStyle w:val="Heading3"/>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38">
        <w:r>
          <w:rPr>
            <w:rStyle w:val="Hyperlink"/>
          </w:rPr>
          <w:t xml:space="preserve">information exchange agreement</w:t>
        </w:r>
      </w:hyperlink>
      <w:r>
        <w:t xml:space="preserve"> </w:t>
      </w:r>
      <w:r>
        <w:t xml:space="preserve">(CA-3) covers the connection; this clause covers the provider. The</w:t>
      </w:r>
      <w:r>
        <w:t xml:space="preserve"> </w:t>
      </w:r>
      <w:hyperlink r:id="rId39">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015"/>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5"/>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5"/>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5"/>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5"/>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1"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0">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6"/>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1"/>
    <w:bookmarkEnd w:id="42"/>
    <w:bookmarkStart w:id="46" w:name="unsupported-system-components-sa-22"/>
    <w:p>
      <w:pPr>
        <w:pStyle w:val="Heading3"/>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43">
        <w:r>
          <w:rPr>
            <w:rStyle w:val="Hyperlink"/>
          </w:rPr>
          <w:t xml:space="preserve">patch and flaw remediation standard</w:t>
        </w:r>
      </w:hyperlink>
      <w:r>
        <w:t xml:space="preserve"> </w:t>
      </w:r>
      <w:r>
        <w:t xml:space="preserve">until it is replaced.</w:t>
      </w:r>
    </w:p>
    <w:p>
      <w:pPr>
        <w:pStyle w:val="Compact"/>
        <w:numPr>
          <w:ilvl w:val="0"/>
          <w:numId w:val="1017"/>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17"/>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17"/>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17"/>
        </w:numPr>
      </w:pPr>
      <w:r>
        <w:t xml:space="preserve">The authorizing official shall approve each continued use of an unsupported component, for a set period, with the compensating measures recorded and the replacement tracked in the plan of action and milestones. (SA-22b)</w:t>
      </w:r>
    </w:p>
    <w:bookmarkStart w:id="45" w:name="federal-systems-6"/>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44">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18"/>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18"/>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45"/>
    <w:bookmarkEnd w:id="46"/>
    <w:bookmarkEnd w:id="47"/>
    <w:bookmarkStart w:id="50" w:name="review-and-update"/>
    <w:p>
      <w:pPr>
        <w:pStyle w:val="Heading2"/>
      </w:pPr>
      <w:r>
        <w:t xml:space="preserve">Review and update</w:t>
      </w:r>
    </w:p>
    <w:p>
      <w:pPr>
        <w:pStyle w:val="Compact"/>
        <w:numPr>
          <w:ilvl w:val="0"/>
          <w:numId w:val="1019"/>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19"/>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49" w:name="federal-systems-7"/>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8">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0"/>
        </w:numPr>
      </w:pPr>
      <w:r>
        <w:t xml:space="preserve">Where the agency’s organization-wide policy sets a value for a parameter in this policy, each system shall use that value or a stricter one. (SA-1a.1(b))</w:t>
      </w:r>
    </w:p>
    <w:bookmarkEnd w:id="49"/>
    <w:bookmarkEnd w:id="50"/>
    <w:bookmarkEnd w:id="5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fips/201-3/final" TargetMode="External" /><Relationship Type="http://schemas.openxmlformats.org/officeDocument/2006/relationships/hyperlink" Id="rId36"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22" Target="https://csrc.nist.gov/pubs/sp/800/37/r2/final" TargetMode="External" /><Relationship Type="http://schemas.openxmlformats.org/officeDocument/2006/relationships/hyperlink" Id="rId39" Target="https://kston83.github.io/nist-guide/templates/forms/external-service-review/" TargetMode="External" /><Relationship Type="http://schemas.openxmlformats.org/officeDocument/2006/relationships/hyperlink" Id="rId38"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43" Target="https://kston83.github.io/nist-guide/templates/standards/patch-and-flaw-remediation-standard/" TargetMode="External" /><Relationship Type="http://schemas.openxmlformats.org/officeDocument/2006/relationships/hyperlink" Id="rId48" Target="https://uscode.house.gov/view.xhtml?req=granuleid:USC-prelim-title44-section3554&amp;num=0&amp;edition=prelim" TargetMode="External" /><Relationship Type="http://schemas.openxmlformats.org/officeDocument/2006/relationships/hyperlink" Id="rId44" Target="https://www.cisa.gov/news-events/directives/bod-26-02-mitigating-risk-end-support-edge-devices" TargetMode="External" /><Relationship Type="http://schemas.openxmlformats.org/officeDocument/2006/relationships/hyperlink" Id="rId40"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fips/201-3/final" TargetMode="External" /><Relationship Type="http://schemas.openxmlformats.org/officeDocument/2006/relationships/hyperlink" Id="rId36"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22" Target="https://csrc.nist.gov/pubs/sp/800/37/r2/final" TargetMode="External" /><Relationship Type="http://schemas.openxmlformats.org/officeDocument/2006/relationships/hyperlink" Id="rId39" Target="https://kston83.github.io/nist-guide/templates/forms/external-service-review/" TargetMode="External" /><Relationship Type="http://schemas.openxmlformats.org/officeDocument/2006/relationships/hyperlink" Id="rId38"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43" Target="https://kston83.github.io/nist-guide/templates/standards/patch-and-flaw-remediation-standard/" TargetMode="External" /><Relationship Type="http://schemas.openxmlformats.org/officeDocument/2006/relationships/hyperlink" Id="rId48" Target="https://uscode.house.gov/view.xhtml?req=granuleid:USC-prelim-title44-section3554&amp;num=0&amp;edition=prelim" TargetMode="External" /><Relationship Type="http://schemas.openxmlformats.org/officeDocument/2006/relationships/hyperlink" Id="rId44" Target="https://www.cisa.gov/news-events/directives/bod-26-02-mitigating-risk-end-support-edge-devices" TargetMode="External" /><Relationship Type="http://schemas.openxmlformats.org/officeDocument/2006/relationships/hyperlink" Id="rId40"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