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3" w:name="system-and-services-acquisition-policy"/>
    <w:p>
      <w:pPr>
        <w:pStyle w:val="Heading1"/>
      </w:pPr>
      <w:r>
        <w:t xml:space="preserve">System and Services Acquisition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Services Acquisition, and who is accountable for meeting those requirements. (SA-1a.1(a))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(SA-1a.1(a))</w:t>
      </w:r>
    </w:p>
    <w:p>
      <w:pPr>
        <w:pStyle w:val="Compact"/>
        <w:numPr>
          <w:ilvl w:val="0"/>
          <w:numId w:val="1001"/>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manage the development, documentation and dissemination of this policy and its procedures. (SA-1b)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(SA-1a.1(a))</w:t>
      </w:r>
    </w:p>
    <w:p>
      <w:pPr>
        <w:pStyle w:val="Compact"/>
        <w:numPr>
          <w:ilvl w:val="0"/>
          <w:numId w:val="1002"/>
        </w:numPr>
      </w:pPr>
      <w:r>
        <w:t xml:space="preserve">Violations of this policy shall be handled through the organization’s sanctions process. (SA-1a.1(a))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ensure that documented procedures exist to implement this policy and its associated controls. (SA-1a.2)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services acquisition policy is to be disseminated. Typical: everyone within its scope, through the policy library]</w:t>
      </w:r>
      <w:r>
        <w:t xml:space="preserve">. (SA-1a)</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services acquisition procedures are to be disseminated. Typical: the people who carry them out, and the system owners]</w:t>
      </w:r>
      <w:r>
        <w:t xml:space="preserve">. (SA-1a)</w:t>
      </w:r>
    </w:p>
    <w:bookmarkEnd w:id="18"/>
    <w:bookmarkStart w:id="49" w:name="policy-statements"/>
    <w:p>
      <w:pPr>
        <w:pStyle w:val="Heading2"/>
      </w:pPr>
      <w:r>
        <w:t xml:space="preserve">Policy statements</w:t>
      </w:r>
    </w:p>
    <w:bookmarkStart w:id="21" w:name="allocation-of-resources-sa-2"/>
    <w:p>
      <w:pPr>
        <w:pStyle w:val="Heading3"/>
      </w:pPr>
      <w:r>
        <w:t xml:space="preserve">Allocation of resources (SA-2)</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004"/>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0"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005"/>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0"/>
    <w:bookmarkEnd w:id="21"/>
    <w:bookmarkStart w:id="23" w:name="system-development-life-cycle-sa-3"/>
    <w:p>
      <w:pPr>
        <w:pStyle w:val="Heading3"/>
      </w:pPr>
      <w:r>
        <w:t xml:space="preserve">System development life cycle (SA-3)</w:t>
      </w:r>
    </w:p>
    <w:p>
      <w:pPr>
        <w:pStyle w:val="Compact"/>
        <w:numPr>
          <w:ilvl w:val="0"/>
          <w:numId w:val="1006"/>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006"/>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2"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2"/>
    <w:bookmarkEnd w:id="23"/>
    <w:bookmarkStart w:id="26" w:name="acquisition-process-sa-4"/>
    <w:p>
      <w:pPr>
        <w:pStyle w:val="Heading3"/>
      </w:pPr>
      <w:r>
        <w:t xml:space="preserve">Acquisition process (SA-4)</w:t>
      </w:r>
    </w:p>
    <w:p>
      <w:pPr>
        <w:pStyle w:val="Compact"/>
        <w:numPr>
          <w:ilvl w:val="0"/>
          <w:numId w:val="1008"/>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008"/>
        </w:numPr>
      </w:pPr>
      <w:r>
        <w:t xml:space="preserve">The contract shall state the security and privacy functional requirements. (SA-4a)</w:t>
      </w:r>
    </w:p>
    <w:p>
      <w:pPr>
        <w:pStyle w:val="Compact"/>
        <w:numPr>
          <w:ilvl w:val="0"/>
          <w:numId w:val="1008"/>
        </w:numPr>
      </w:pPr>
      <w:r>
        <w:t xml:space="preserve">The contract shall state the strength of mechanism requirements, such as resistance to tampering, bypass and direct attack. (SA-4b)</w:t>
      </w:r>
    </w:p>
    <w:p>
      <w:pPr>
        <w:pStyle w:val="Compact"/>
        <w:numPr>
          <w:ilvl w:val="0"/>
          <w:numId w:val="1008"/>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008"/>
        </w:numPr>
      </w:pPr>
      <w:r>
        <w:t xml:space="preserve">The contract shall state the controls needed to satisfy the security and privacy requirements, with any control parameter values the supplier must meet. (SA-4d)</w:t>
      </w:r>
    </w:p>
    <w:p>
      <w:pPr>
        <w:pStyle w:val="Compact"/>
        <w:numPr>
          <w:ilvl w:val="0"/>
          <w:numId w:val="1008"/>
        </w:numPr>
      </w:pPr>
      <w:r>
        <w:t xml:space="preserve">The contract shall state the security and privacy documentation requirements (SA-5). (SA-4e)</w:t>
      </w:r>
    </w:p>
    <w:p>
      <w:pPr>
        <w:pStyle w:val="Compact"/>
        <w:numPr>
          <w:ilvl w:val="0"/>
          <w:numId w:val="1008"/>
        </w:numPr>
      </w:pPr>
      <w:r>
        <w:t xml:space="preserve">The contract shall state the requirements for protecting security and privacy documentation. (SA-4f)</w:t>
      </w:r>
    </w:p>
    <w:p>
      <w:pPr>
        <w:pStyle w:val="Compact"/>
        <w:numPr>
          <w:ilvl w:val="0"/>
          <w:numId w:val="1008"/>
        </w:numPr>
      </w:pPr>
      <w:r>
        <w:t xml:space="preserve">The contract shall describe the system development environment and the environment in which the system is intended to operate. (SA-4g)</w:t>
      </w:r>
    </w:p>
    <w:p>
      <w:pPr>
        <w:pStyle w:val="Compact"/>
        <w:numPr>
          <w:ilvl w:val="0"/>
          <w:numId w:val="1008"/>
        </w:numPr>
      </w:pPr>
      <w:r>
        <w:t xml:space="preserve">The contract shall allocate responsibility for, or identify the parties responsible for, information security, privacy and supply chain risk management. (SA-4h)</w:t>
      </w:r>
    </w:p>
    <w:p>
      <w:pPr>
        <w:pStyle w:val="Compact"/>
        <w:numPr>
          <w:ilvl w:val="0"/>
          <w:numId w:val="1008"/>
        </w:numPr>
      </w:pPr>
      <w:r>
        <w:t xml:space="preserve">The contract shall state the acceptance criteria for the system, component or service. (SA-4i)</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bookmarkStart w:id="25" w:name="federal-systems-2"/>
    <w:p>
      <w:pPr>
        <w:pStyle w:val="Heading4"/>
      </w:pPr>
      <w:r>
        <w:t xml:space="preserve">Federal systems</w:t>
      </w:r>
    </w:p>
    <w:p>
      <w:pPr>
        <w:pStyle w:val="FirstParagraph"/>
      </w:pPr>
      <w:hyperlink r:id="rId19">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4">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5"/>
    <w:bookmarkEnd w:id="26"/>
    <w:bookmarkStart w:id="27" w:name="functional-properties-of-controls-sa-41"/>
    <w:p>
      <w:pPr>
        <w:pStyle w:val="Heading3"/>
      </w:pPr>
      <w:r>
        <w:t xml:space="preserve">Functional properties of controls (SA-4(1))</w:t>
      </w:r>
    </w:p>
    <w:p>
      <w:pPr>
        <w:pStyle w:val="Compact"/>
        <w:numPr>
          <w:ilvl w:val="0"/>
          <w:numId w:val="1010"/>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a description of the functional properties of the controls to be implemented. (SA-4(1))</w:t>
      </w:r>
    </w:p>
    <w:p>
      <w:pPr>
        <w:pStyle w:val="Compact"/>
        <w:numPr>
          <w:ilvl w:val="0"/>
          <w:numId w:val="1010"/>
        </w:numPr>
      </w:pPr>
      <w:r>
        <w:t xml:space="preserve">The</w:t>
      </w:r>
      <w:r>
        <w:t xml:space="preserve"> </w:t>
      </w:r>
      <w:r>
        <w:rPr>
          <w:rStyle w:val="Fill-in"/>
        </w:rPr>
        <w:t xml:space="preserve">[System owner]</w:t>
      </w:r>
      <w:r>
        <w:t xml:space="preserve"> </w:t>
      </w:r>
      <w:r>
        <w:t xml:space="preserve">shall accept the description only when it covers every control the contract allocates to the developer. (SA-4(1))</w:t>
      </w:r>
    </w:p>
    <w:bookmarkEnd w:id="27"/>
    <w:bookmarkStart w:id="28" w:name="Xeb2695f3a63295baa6033de0dbfa99d3267a330"/>
    <w:p>
      <w:pPr>
        <w:pStyle w:val="Heading3"/>
      </w:pPr>
      <w:r>
        <w:t xml:space="preserve">Design and implementation information for controls (SA-4(2))</w:t>
      </w:r>
    </w:p>
    <w:p>
      <w:pPr>
        <w:pStyle w:val="Compact"/>
        <w:numPr>
          <w:ilvl w:val="0"/>
          <w:numId w:val="1011"/>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design and implementation information for the controls that includes</w:t>
      </w:r>
      <w:r>
        <w:t xml:space="preserve"> </w:t>
      </w:r>
      <w:r>
        <w:rPr>
          <w:rStyle w:val="Fill-in"/>
        </w:rPr>
        <w:t xml:space="preserve">[Select one or more: security-relevant external system interfaces; high-level design; low-level design; source code or hardware schematics; [Assignment: organization-defined design and implementation information]. Typical: security-relevant external system interfaces and high-level design, and for High systems also low-level design]</w:t>
      </w:r>
      <w:r>
        <w:t xml:space="preserve"> </w:t>
      </w:r>
      <w:r>
        <w:t xml:space="preserve">at</w:t>
      </w:r>
      <w:r>
        <w:t xml:space="preserve"> </w:t>
      </w:r>
      <w:r>
        <w:rPr>
          <w:rStyle w:val="Fill-in"/>
        </w:rPr>
        <w:t xml:space="preserve">[Fill in: level of detail. Typical: enough detail to show, for each subsystem and interface, which controls it implements and how]</w:t>
      </w:r>
      <w:r>
        <w:t xml:space="preserve">. (SA-4(2))</w:t>
      </w:r>
    </w:p>
    <w:p>
      <w:pPr>
        <w:pStyle w:val="Compact"/>
        <w:numPr>
          <w:ilvl w:val="0"/>
          <w:numId w:val="1011"/>
        </w:numPr>
      </w:pPr>
      <w:r>
        <w:t xml:space="preserve">The</w:t>
      </w:r>
      <w:r>
        <w:t xml:space="preserve"> </w:t>
      </w:r>
      <w:r>
        <w:rPr>
          <w:rStyle w:val="Fill-in"/>
        </w:rPr>
        <w:t xml:space="preserve">[System owner]</w:t>
      </w:r>
      <w:r>
        <w:t xml:space="preserve"> </w:t>
      </w:r>
      <w:r>
        <w:t xml:space="preserve">shall protect the design and implementation information according to the system’s security category, as the contract’s documentation protection requirements set (SA-4f). (SA-4(2))</w:t>
      </w:r>
    </w:p>
    <w:bookmarkEnd w:id="28"/>
    <w:bookmarkStart w:id="29" w:name="X419771c8249d4b966b57f8f8e7faaee7f35c9c4"/>
    <w:p>
      <w:pPr>
        <w:pStyle w:val="Heading3"/>
      </w:pPr>
      <w:r>
        <w:t xml:space="preserve">Functions, ports, protocols and services in use (SA-4(9))</w:t>
      </w:r>
    </w:p>
    <w:p>
      <w:pPr>
        <w:pStyle w:val="Compact"/>
        <w:numPr>
          <w:ilvl w:val="0"/>
          <w:numId w:val="1012"/>
        </w:numPr>
      </w:pPr>
      <w:r>
        <w:t xml:space="preserve">The</w:t>
      </w:r>
      <w:r>
        <w:t xml:space="preserve"> </w:t>
      </w:r>
      <w:r>
        <w:rPr>
          <w:rStyle w:val="Fill-in"/>
        </w:rPr>
        <w:t xml:space="preserve">[System owner]</w:t>
      </w:r>
      <w:r>
        <w:t xml:space="preserve"> </w:t>
      </w:r>
      <w:r>
        <w:t xml:space="preserve">shall require the developer of the system, system component or system service to identify, early in the system development life cycle, the functions, ports, protocols and services intended for organizational use. (SA-4(9))</w:t>
      </w:r>
    </w:p>
    <w:p>
      <w:pPr>
        <w:pStyle w:val="Compact"/>
        <w:numPr>
          <w:ilvl w:val="0"/>
          <w:numId w:val="1012"/>
        </w:numPr>
      </w:pPr>
      <w:r>
        <w:t xml:space="preserve">The</w:t>
      </w:r>
      <w:r>
        <w:t xml:space="preserve"> </w:t>
      </w:r>
      <w:r>
        <w:rPr>
          <w:rStyle w:val="Fill-in"/>
        </w:rPr>
        <w:t xml:space="preserve">[System owner]</w:t>
      </w:r>
      <w:r>
        <w:t xml:space="preserve"> </w:t>
      </w:r>
      <w:r>
        <w:t xml:space="preserve">shall review the list against the organization’s prohibited and restricted functions, ports, protocols and services (CM-7) before the design or product is accepted, and record it in the system security plan. (SA-4(9))</w:t>
      </w:r>
    </w:p>
    <w:bookmarkEnd w:id="29"/>
    <w:bookmarkStart w:id="33" w:name="use-of-approved-piv-products-sa-410"/>
    <w:p>
      <w:pPr>
        <w:pStyle w:val="Heading3"/>
      </w:pPr>
      <w:r>
        <w:t xml:space="preserve">Use of approved PIV products (SA-4(10))</w:t>
      </w:r>
    </w:p>
    <w:p>
      <w:pPr>
        <w:pStyle w:val="Compact"/>
        <w:numPr>
          <w:ilvl w:val="0"/>
          <w:numId w:val="1013"/>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013"/>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32" w:name="federal-systems-3"/>
    <w:p>
      <w:pPr>
        <w:pStyle w:val="Heading4"/>
      </w:pPr>
      <w:r>
        <w:t xml:space="preserve">Federal systems</w:t>
      </w:r>
    </w:p>
    <w:p>
      <w:pPr>
        <w:pStyle w:val="FirstParagraph"/>
      </w:pPr>
      <w:hyperlink r:id="rId30">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31">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014"/>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32"/>
    <w:bookmarkEnd w:id="33"/>
    <w:bookmarkStart w:id="35" w:name="system-documentation-sa-5"/>
    <w:p>
      <w:pPr>
        <w:pStyle w:val="Heading3"/>
      </w:pPr>
      <w:r>
        <w:t xml:space="preserve">System documentation (SA-5)</w:t>
      </w:r>
    </w:p>
    <w:p>
      <w:pPr>
        <w:pStyle w:val="Compact"/>
        <w:numPr>
          <w:ilvl w:val="0"/>
          <w:numId w:val="1015"/>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015"/>
        </w:numPr>
      </w:pPr>
      <w:r>
        <w:t xml:space="preserve">The administrator documentation shall describe the effective use and maintenance of the security and privacy functions and mechanisms. (SA-5a.2)</w:t>
      </w:r>
    </w:p>
    <w:p>
      <w:pPr>
        <w:pStyle w:val="Compact"/>
        <w:numPr>
          <w:ilvl w:val="0"/>
          <w:numId w:val="1015"/>
        </w:numPr>
      </w:pPr>
      <w:r>
        <w:t xml:space="preserve">The administrator documentation shall describe known vulnerabilities regarding the configuration and use of administrative or privileged functions. (SA-5a.3)</w:t>
      </w:r>
    </w:p>
    <w:p>
      <w:pPr>
        <w:pStyle w:val="Compact"/>
        <w:numPr>
          <w:ilvl w:val="0"/>
          <w:numId w:val="1015"/>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015"/>
        </w:numPr>
      </w:pPr>
      <w:r>
        <w:t xml:space="preserve">The user documentation shall describe methods of user interaction that let individuals use the system, component or service more securely and protect individual privacy. (SA-5b.2)</w:t>
      </w:r>
    </w:p>
    <w:p>
      <w:pPr>
        <w:pStyle w:val="Compact"/>
        <w:numPr>
          <w:ilvl w:val="0"/>
          <w:numId w:val="1015"/>
        </w:numPr>
      </w:pPr>
      <w:r>
        <w:t xml:space="preserve">The user documentation shall describe users’ responsibilities for maintaining the security of the system, component or service and the privacy of individuals. (SA-5b.3)</w:t>
      </w:r>
    </w:p>
    <w:p>
      <w:pPr>
        <w:pStyle w:val="Compact"/>
        <w:numPr>
          <w:ilvl w:val="0"/>
          <w:numId w:val="1015"/>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015"/>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015"/>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34" w:name="federal-systems-4"/>
    <w:p>
      <w:pPr>
        <w:pStyle w:val="Heading4"/>
      </w:pPr>
      <w:r>
        <w:t xml:space="preserve">Federal systems</w:t>
      </w:r>
    </w:p>
    <w:p>
      <w:pPr>
        <w:pStyle w:val="FirstParagraph"/>
      </w:pPr>
      <w:hyperlink r:id="rId19">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016"/>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34"/>
    <w:bookmarkEnd w:id="35"/>
    <w:bookmarkStart w:id="36" w:name="X8083db2fed54f34e7396f7a6baa5c8a26be9932"/>
    <w:p>
      <w:pPr>
        <w:pStyle w:val="Heading3"/>
      </w:pPr>
      <w:r>
        <w:t xml:space="preserve">Security and privacy engineering principles (SA-8)</w:t>
      </w:r>
    </w:p>
    <w:p>
      <w:pPr>
        <w:pStyle w:val="Compact"/>
        <w:numPr>
          <w:ilvl w:val="0"/>
          <w:numId w:val="1017"/>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017"/>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017"/>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36"/>
    <w:bookmarkStart w:id="39" w:name="external-system-services-sa-9"/>
    <w:p>
      <w:pPr>
        <w:pStyle w:val="Heading3"/>
      </w:pPr>
      <w:r>
        <w:t xml:space="preserve">External system services (SA-9)</w:t>
      </w:r>
    </w:p>
    <w:p>
      <w:pPr>
        <w:pStyle w:val="Compact"/>
        <w:numPr>
          <w:ilvl w:val="0"/>
          <w:numId w:val="1018"/>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018"/>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018"/>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018"/>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018"/>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38" w:name="federal-systems-5"/>
    <w:p>
      <w:pPr>
        <w:pStyle w:val="Heading4"/>
      </w:pPr>
      <w:r>
        <w:t xml:space="preserve">Federal systems</w:t>
      </w:r>
    </w:p>
    <w:p>
      <w:pPr>
        <w:pStyle w:val="FirstParagraph"/>
      </w:pPr>
      <w:hyperlink r:id="rId19">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37">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019"/>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019"/>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38"/>
    <w:bookmarkEnd w:id="39"/>
    <w:bookmarkStart w:id="40" w:name="Xd6df5f3fd4538438d02383c00072d5041800588"/>
    <w:p>
      <w:pPr>
        <w:pStyle w:val="Heading3"/>
      </w:pPr>
      <w:r>
        <w:t xml:space="preserve">Identification of functions, ports, protocols and services (SA-9(2))</w:t>
      </w:r>
    </w:p>
    <w:p>
      <w:pPr>
        <w:pStyle w:val="Compact"/>
        <w:numPr>
          <w:ilvl w:val="0"/>
          <w:numId w:val="1020"/>
        </w:numPr>
      </w:pPr>
      <w:r>
        <w:t xml:space="preserve">The</w:t>
      </w:r>
      <w:r>
        <w:t xml:space="preserve"> </w:t>
      </w:r>
      <w:r>
        <w:rPr>
          <w:rStyle w:val="Fill-in"/>
        </w:rPr>
        <w:t xml:space="preserve">[System owner]</w:t>
      </w:r>
      <w:r>
        <w:t xml:space="preserve"> </w:t>
      </w:r>
      <w:r>
        <w:t xml:space="preserve">shall require providers of</w:t>
      </w:r>
      <w:r>
        <w:t xml:space="preserve"> </w:t>
      </w:r>
      <w:r>
        <w:rPr>
          <w:rStyle w:val="Fill-in"/>
        </w:rPr>
        <w:t xml:space="preserve">[Fill in: external system services that require the identification of functions, ports, protocols, and other services. Typical: all external system services that connect to the system]</w:t>
      </w:r>
      <w:r>
        <w:t xml:space="preserve"> </w:t>
      </w:r>
      <w:r>
        <w:t xml:space="preserve">to identify the functions, ports, protocols and other services required for the use of those services. (SA-9(2))</w:t>
      </w:r>
    </w:p>
    <w:p>
      <w:pPr>
        <w:pStyle w:val="Compact"/>
        <w:numPr>
          <w:ilvl w:val="0"/>
          <w:numId w:val="1020"/>
        </w:numPr>
      </w:pPr>
      <w:r>
        <w:t xml:space="preserve">The</w:t>
      </w:r>
      <w:r>
        <w:t xml:space="preserve"> </w:t>
      </w:r>
      <w:r>
        <w:rPr>
          <w:rStyle w:val="Fill-in"/>
        </w:rPr>
        <w:t xml:space="preserve">[System owner]</w:t>
      </w:r>
      <w:r>
        <w:t xml:space="preserve"> </w:t>
      </w:r>
      <w:r>
        <w:t xml:space="preserve">shall record each provider’s list with the service in the system security plan, and update it when the provider changes the service. (SA-9(2))</w:t>
      </w:r>
    </w:p>
    <w:bookmarkEnd w:id="40"/>
    <w:bookmarkStart w:id="41" w:name="developer-configuration-management-sa-10"/>
    <w:p>
      <w:pPr>
        <w:pStyle w:val="Heading3"/>
      </w:pPr>
      <w:r>
        <w:t xml:space="preserve">Developer configuration management (SA-10)</w:t>
      </w:r>
    </w:p>
    <w:p>
      <w:pPr>
        <w:pStyle w:val="Compact"/>
        <w:numPr>
          <w:ilvl w:val="0"/>
          <w:numId w:val="1021"/>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configuration management during</w:t>
      </w:r>
      <w:r>
        <w:t xml:space="preserve"> </w:t>
      </w:r>
      <w:r>
        <w:rPr>
          <w:rStyle w:val="Fill-in"/>
        </w:rPr>
        <w:t xml:space="preserve">[Select one or more: design; development; implementation; operation; disposal. Typical: design, development, implementation and operation]</w:t>
      </w:r>
      <w:r>
        <w:t xml:space="preserve">. (SA-10a)</w:t>
      </w:r>
    </w:p>
    <w:p>
      <w:pPr>
        <w:pStyle w:val="Compact"/>
        <w:numPr>
          <w:ilvl w:val="0"/>
          <w:numId w:val="1021"/>
        </w:numPr>
      </w:pPr>
      <w:r>
        <w:t xml:space="preserve">The</w:t>
      </w:r>
      <w:r>
        <w:t xml:space="preserve"> </w:t>
      </w:r>
      <w:r>
        <w:rPr>
          <w:rStyle w:val="Fill-in"/>
        </w:rPr>
        <w:t xml:space="preserve">[System owner]</w:t>
      </w:r>
      <w:r>
        <w:t xml:space="preserve"> </w:t>
      </w:r>
      <w:r>
        <w:t xml:space="preserve">shall require the developer to document, manage and control the integrity of changes to</w:t>
      </w:r>
      <w:r>
        <w:t xml:space="preserve"> </w:t>
      </w:r>
      <w:r>
        <w:rPr>
          <w:rStyle w:val="Fill-in"/>
        </w:rPr>
        <w:t xml:space="preserve">[Fill in: configuration items under configuration management. Typical: design specifications, source code, build scripts and pipeline configuration, infrastructure and configuration as code, test scripts and results, and each released executable]</w:t>
      </w:r>
      <w:r>
        <w:t xml:space="preserve">. (SA-10b)</w:t>
      </w:r>
    </w:p>
    <w:p>
      <w:pPr>
        <w:pStyle w:val="Compact"/>
        <w:numPr>
          <w:ilvl w:val="0"/>
          <w:numId w:val="1021"/>
        </w:numPr>
      </w:pPr>
      <w:r>
        <w:t xml:space="preserve">The</w:t>
      </w:r>
      <w:r>
        <w:t xml:space="preserve"> </w:t>
      </w:r>
      <w:r>
        <w:rPr>
          <w:rStyle w:val="Fill-in"/>
        </w:rPr>
        <w:t xml:space="preserve">[System owner]</w:t>
      </w:r>
      <w:r>
        <w:t xml:space="preserve"> </w:t>
      </w:r>
      <w:r>
        <w:t xml:space="preserve">shall require the developer to implement only organization-approved changes to the system, component or service. (SA-10c)</w:t>
      </w:r>
    </w:p>
    <w:p>
      <w:pPr>
        <w:pStyle w:val="Compact"/>
        <w:numPr>
          <w:ilvl w:val="0"/>
          <w:numId w:val="1021"/>
        </w:numPr>
      </w:pPr>
      <w:r>
        <w:t xml:space="preserve">The</w:t>
      </w:r>
      <w:r>
        <w:t xml:space="preserve"> </w:t>
      </w:r>
      <w:r>
        <w:rPr>
          <w:rStyle w:val="Fill-in"/>
        </w:rPr>
        <w:t xml:space="preserve">[System owner]</w:t>
      </w:r>
      <w:r>
        <w:t xml:space="preserve"> </w:t>
      </w:r>
      <w:r>
        <w:t xml:space="preserve">shall require the developer to document approved changes and their potential security and privacy impacts. (SA-10d)</w:t>
      </w:r>
    </w:p>
    <w:p>
      <w:pPr>
        <w:pStyle w:val="Compact"/>
        <w:numPr>
          <w:ilvl w:val="0"/>
          <w:numId w:val="1021"/>
        </w:numPr>
      </w:pPr>
      <w:r>
        <w:t xml:space="preserve">The</w:t>
      </w:r>
      <w:r>
        <w:t xml:space="preserve"> </w:t>
      </w:r>
      <w:r>
        <w:rPr>
          <w:rStyle w:val="Fill-in"/>
        </w:rPr>
        <w:t xml:space="preserve">[System owner]</w:t>
      </w:r>
      <w:r>
        <w:t xml:space="preserve"> </w:t>
      </w:r>
      <w:r>
        <w:t xml:space="preserve">shall require the developer to track security flaws and flaw resolution within the system, component or service, and report findings to</w:t>
      </w:r>
      <w:r>
        <w:t xml:space="preserve"> </w:t>
      </w:r>
      <w:r>
        <w:rPr>
          <w:rStyle w:val="Fill-in"/>
        </w:rPr>
        <w:t xml:space="preserve">[Fill in: personnel to whom security flaws and flaw resolutions within the system, component, or service are reported. Typical: the system owner and the Chief Information Security Officer]</w:t>
      </w:r>
      <w:r>
        <w:t xml:space="preserve">. (SA-10e)</w:t>
      </w:r>
    </w:p>
    <w:p>
      <w:pPr>
        <w:pStyle w:val="Compact"/>
        <w:numPr>
          <w:ilvl w:val="0"/>
          <w:numId w:val="1021"/>
        </w:numPr>
      </w:pPr>
      <w:r>
        <w:t xml:space="preserve">The</w:t>
      </w:r>
      <w:r>
        <w:t xml:space="preserve"> </w:t>
      </w:r>
      <w:r>
        <w:rPr>
          <w:rStyle w:val="Fill-in"/>
        </w:rPr>
        <w:t xml:space="preserve">[System owner]</w:t>
      </w:r>
      <w:r>
        <w:t xml:space="preserve"> </w:t>
      </w:r>
      <w:r>
        <w:t xml:space="preserve">shall ensure developer changes to an operational system go through the system’s configuration change control (CM-3). (SA-10c)</w:t>
      </w:r>
    </w:p>
    <w:bookmarkEnd w:id="41"/>
    <w:bookmarkStart w:id="42" w:name="developer-testing-and-evaluation-sa-11"/>
    <w:p>
      <w:pPr>
        <w:pStyle w:val="Heading3"/>
      </w:pPr>
      <w:r>
        <w:t xml:space="preserve">Developer testing and evaluation (SA-11)</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022"/>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42"/>
    <w:bookmarkStart w:id="44" w:name="X6c372991e8355ceafe78d2a196061eca40c183e"/>
    <w:p>
      <w:pPr>
        <w:pStyle w:val="Heading3"/>
      </w:pPr>
      <w:r>
        <w:t xml:space="preserve">Development process, standards and tools (SA-15)</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of the system, system component or system service to follow a documented development process that explicitly addresses security and privacy requirements. (SA-15a.1)</w:t>
      </w:r>
    </w:p>
    <w:p>
      <w:pPr>
        <w:pStyle w:val="Compact"/>
        <w:numPr>
          <w:ilvl w:val="0"/>
          <w:numId w:val="1023"/>
        </w:numPr>
      </w:pPr>
      <w:r>
        <w:t xml:space="preserve">The documented process shall identify the standards and tools used in the development process. (SA-15a.2)</w:t>
      </w:r>
    </w:p>
    <w:p>
      <w:pPr>
        <w:pStyle w:val="Compact"/>
        <w:numPr>
          <w:ilvl w:val="0"/>
          <w:numId w:val="1023"/>
        </w:numPr>
      </w:pPr>
      <w:r>
        <w:t xml:space="preserve">The documented process shall document the specific tool options and tool configurations used in the development process. (SA-15a.3)</w:t>
      </w:r>
    </w:p>
    <w:p>
      <w:pPr>
        <w:pStyle w:val="Compact"/>
        <w:numPr>
          <w:ilvl w:val="0"/>
          <w:numId w:val="1023"/>
        </w:numPr>
      </w:pPr>
      <w:r>
        <w:t xml:space="preserve">The documented process shall document, manage and ensure the integrity of changes to the process and the tools used in development. (SA-15a.4)</w:t>
      </w:r>
    </w:p>
    <w:p>
      <w:pPr>
        <w:pStyle w:val="Compact"/>
        <w:numPr>
          <w:ilvl w:val="0"/>
          <w:numId w:val="1023"/>
        </w:numPr>
      </w:pPr>
      <w:r>
        <w:t xml:space="preserve">The</w:t>
      </w:r>
      <w:r>
        <w:t xml:space="preserve"> </w:t>
      </w:r>
      <w:r>
        <w:rPr>
          <w:rStyle w:val="Fill-in"/>
        </w:rPr>
        <w:t xml:space="preserve">[System owner]</w:t>
      </w:r>
      <w:r>
        <w:t xml:space="preserve"> </w:t>
      </w:r>
      <w:r>
        <w:t xml:space="preserve">shall review the development process, standards, tools, tool options and tool configurations</w:t>
      </w:r>
      <w:r>
        <w:t xml:space="preserve"> </w:t>
      </w:r>
      <w:r>
        <w:rPr>
          <w:rStyle w:val="Fill-in"/>
        </w:rPr>
        <w:t xml:space="preserve">[Fill in: frequency at which to review the development process, standards, tools, tool options, and tool configurations. Typical: at least annually, and before a new development tool or a major change to the development process is adopted]</w:t>
      </w:r>
      <w:r>
        <w:t xml:space="preserve"> </w:t>
      </w:r>
      <w:r>
        <w:t xml:space="preserve">to determine whether they can satisfy</w:t>
      </w:r>
      <w:r>
        <w:t xml:space="preserve"> </w:t>
      </w:r>
      <w:r>
        <w:rPr>
          <w:rStyle w:val="Fill-in"/>
        </w:rPr>
        <w:t xml:space="preserve">[Fill in: security and privacy requirements. Typical: the security requirements in the acquisition contract (SA-4) and the organization’s secure software development practices, and the privacy requirements recorded in the system’s privacy impact assessment]</w:t>
      </w:r>
      <w:r>
        <w:t xml:space="preserve">. (SA-15b)</w:t>
      </w:r>
    </w:p>
    <w:p>
      <w:pPr>
        <w:pStyle w:val="Compact"/>
        <w:numPr>
          <w:ilvl w:val="0"/>
          <w:numId w:val="1023"/>
        </w:numPr>
      </w:pPr>
      <w:r>
        <w:t xml:space="preserve">The</w:t>
      </w:r>
      <w:r>
        <w:t xml:space="preserve"> </w:t>
      </w:r>
      <w:r>
        <w:rPr>
          <w:rStyle w:val="Fill-in"/>
        </w:rPr>
        <w:t xml:space="preserve">[System owner]</w:t>
      </w:r>
      <w:r>
        <w:t xml:space="preserve"> </w:t>
      </w:r>
      <w:r>
        <w:t xml:space="preserve">shall record each review’s findings, and track any shortfall to correction in the plan of action and milestones. (SA-15b)</w:t>
      </w:r>
    </w:p>
    <w:bookmarkStart w:id="43" w:name="federal-systems-6"/>
    <w:p>
      <w:pPr>
        <w:pStyle w:val="Heading4"/>
      </w:pPr>
      <w:r>
        <w:t xml:space="preserve">Federal systems</w:t>
      </w:r>
    </w:p>
    <w:p>
      <w:pPr>
        <w:pStyle w:val="FirstParagraph"/>
      </w:pPr>
      <w:hyperlink r:id="rId24">
        <w:r>
          <w:rPr>
            <w:rStyle w:val="Hyperlink"/>
          </w:rPr>
          <w:t xml:space="preserve">OMB M-26-05</w:t>
        </w:r>
      </w:hyperlink>
      <w:r>
        <w:t xml:space="preserve">, Adopting a Risk-based Approach to Software and Hardware Security (January 23, 2026), rescinds OMB M-22-18 and M-23-16. It states that each agency should validate provider security using secure development principles and a comprehensive risk assessment, requires agencies to develop software and hardware assurance policies and processes that match their risk determinations and mission needs, and names NIST SP 800-218 as a reference. As of September 2026.</w:t>
      </w:r>
    </w:p>
    <w:p>
      <w:pPr>
        <w:pStyle w:val="Compact"/>
        <w:numPr>
          <w:ilvl w:val="0"/>
          <w:numId w:val="1024"/>
        </w:numPr>
      </w:pPr>
      <w:r>
        <w:t xml:space="preserve">The</w:t>
      </w:r>
      <w:r>
        <w:t xml:space="preserve"> </w:t>
      </w:r>
      <w:r>
        <w:rPr>
          <w:rStyle w:val="Fill-in"/>
        </w:rPr>
        <w:t xml:space="preserve">[Chief Information Security Officer]</w:t>
      </w:r>
      <w:r>
        <w:t xml:space="preserve"> </w:t>
      </w:r>
      <w:r>
        <w:t xml:space="preserve">shall base the security requirements used under SA-15b on the agency’s software and hardware assurance policy under OMB M-26-05, and on a risk assessment of the system. (SA-15b)</w:t>
      </w:r>
    </w:p>
    <w:bookmarkEnd w:id="43"/>
    <w:bookmarkEnd w:id="44"/>
    <w:bookmarkStart w:id="45" w:name="criticality-analysis-sa-153"/>
    <w:p>
      <w:pPr>
        <w:pStyle w:val="Heading3"/>
      </w:pPr>
      <w:r>
        <w:t xml:space="preserve">Criticality analysis (SA-15(3))</w:t>
      </w:r>
    </w:p>
    <w:p>
      <w:pPr>
        <w:pStyle w:val="Compact"/>
        <w:numPr>
          <w:ilvl w:val="0"/>
          <w:numId w:val="1025"/>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a criticality analysis at</w:t>
      </w:r>
      <w:r>
        <w:t xml:space="preserve"> </w:t>
      </w:r>
      <w:r>
        <w:rPr>
          <w:rStyle w:val="Fill-in"/>
        </w:rPr>
        <w:t xml:space="preserve">[Fill in: decision points in the system development life cycle. Typical: during design, before acquiring major components or services, and when the architecture changes significantly]</w:t>
      </w:r>
      <w:r>
        <w:t xml:space="preserve">. (SA-15(3)(a))</w:t>
      </w:r>
    </w:p>
    <w:p>
      <w:pPr>
        <w:pStyle w:val="Compact"/>
        <w:numPr>
          <w:ilvl w:val="0"/>
          <w:numId w:val="1025"/>
        </w:numPr>
      </w:pPr>
      <w:r>
        <w:t xml:space="preserve">The</w:t>
      </w:r>
      <w:r>
        <w:t xml:space="preserve"> </w:t>
      </w:r>
      <w:r>
        <w:rPr>
          <w:rStyle w:val="Fill-in"/>
        </w:rPr>
        <w:t xml:space="preserve">[System owner]</w:t>
      </w:r>
      <w:r>
        <w:t xml:space="preserve"> </w:t>
      </w:r>
      <w:r>
        <w:t xml:space="preserve">shall require the developer’s criticality analysis to cover the following breadth and depth:</w:t>
      </w:r>
      <w:r>
        <w:t xml:space="preserve"> </w:t>
      </w:r>
      <w:r>
        <w:rPr>
          <w:rStyle w:val="Fill-in"/>
        </w:rPr>
        <w:t xml:space="preserve">[Fill in: breadth and depth of criticality analysis. Typical: the components and functions that support the system’s critical functions, including third-party and open-source components, analyzed down to the component and software module level and naming the supplier of each critical component]</w:t>
      </w:r>
      <w:r>
        <w:t xml:space="preserve">. (SA-15(3)(b))</w:t>
      </w:r>
    </w:p>
    <w:p>
      <w:pPr>
        <w:pStyle w:val="Compact"/>
        <w:numPr>
          <w:ilvl w:val="0"/>
          <w:numId w:val="1025"/>
        </w:numPr>
      </w:pPr>
      <w:r>
        <w:t xml:space="preserve">The</w:t>
      </w:r>
      <w:r>
        <w:t xml:space="preserve"> </w:t>
      </w:r>
      <w:r>
        <w:rPr>
          <w:rStyle w:val="Fill-in"/>
        </w:rPr>
        <w:t xml:space="preserve">[System owner]</w:t>
      </w:r>
      <w:r>
        <w:t xml:space="preserve"> </w:t>
      </w:r>
      <w:r>
        <w:t xml:space="preserve">shall use the developer’s results in the organization’s criticality analysis (RA-9). (SA-15(3))</w:t>
      </w:r>
    </w:p>
    <w:bookmarkEnd w:id="45"/>
    <w:bookmarkStart w:id="48" w:name="unsupported-system-components-sa-22"/>
    <w:p>
      <w:pPr>
        <w:pStyle w:val="Heading3"/>
      </w:pPr>
      <w:r>
        <w:t xml:space="preserve">Unsupported system components (SA-22)</w:t>
      </w:r>
    </w:p>
    <w:p>
      <w:pPr>
        <w:pStyle w:val="Compact"/>
        <w:numPr>
          <w:ilvl w:val="0"/>
          <w:numId w:val="1026"/>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026"/>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026"/>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026"/>
        </w:numPr>
      </w:pPr>
      <w:r>
        <w:t xml:space="preserve">The authorizing official shall approve each continued use of an unsupported component, for a set period, with the compensating measures recorded and the replacement tracked in the plan of action and milestones. (SA-22b)</w:t>
      </w:r>
    </w:p>
    <w:bookmarkStart w:id="47" w:name="federal-systems-7"/>
    <w:p>
      <w:pPr>
        <w:pStyle w:val="Heading4"/>
      </w:pPr>
      <w:r>
        <w:t xml:space="preserve">Federal systems</w:t>
      </w:r>
    </w:p>
    <w:p>
      <w:pPr>
        <w:pStyle w:val="FirstParagraph"/>
      </w:pPr>
      <w:hyperlink r:id="rId19">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46">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027"/>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027"/>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027"/>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47"/>
    <w:bookmarkEnd w:id="48"/>
    <w:bookmarkEnd w:id="49"/>
    <w:bookmarkStart w:id="52" w:name="review-and-update"/>
    <w:p>
      <w:pPr>
        <w:pStyle w:val="Heading2"/>
      </w:pPr>
      <w:r>
        <w:t xml:space="preserve">Review and update</w:t>
      </w:r>
    </w:p>
    <w:p>
      <w:pPr>
        <w:pStyle w:val="Compact"/>
        <w:numPr>
          <w:ilvl w:val="0"/>
          <w:numId w:val="1028"/>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services acquisition policy is reviewed and updated. Typical: annually]</w:t>
      </w:r>
      <w:r>
        <w:t xml:space="preserve"> </w:t>
      </w:r>
      <w:r>
        <w:t xml:space="preserve">and following</w:t>
      </w:r>
      <w:r>
        <w:t xml:space="preserve"> </w:t>
      </w:r>
      <w:r>
        <w:rPr>
          <w:rStyle w:val="Fill-in"/>
        </w:rPr>
        <w:t xml:space="preserve">[Fill in: events that would require the current system and services acquisition policy to be reviewed and updated. Typical: assessment or audit findings, security incidents or breaches, and changes in applicable laws, executive orders, directives, regulations, policies, standards or guidelines]</w:t>
      </w:r>
      <w:r>
        <w:t xml:space="preserve">. (SA-1c.1)</w:t>
      </w:r>
    </w:p>
    <w:p>
      <w:pPr>
        <w:pStyle w:val="Compact"/>
        <w:numPr>
          <w:ilvl w:val="0"/>
          <w:numId w:val="1028"/>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services acquisition procedures are reviewed and updated. Typical: annually]</w:t>
      </w:r>
      <w:r>
        <w:t xml:space="preserve"> </w:t>
      </w:r>
      <w:r>
        <w:t xml:space="preserve">and following</w:t>
      </w:r>
      <w:r>
        <w:t xml:space="preserve"> </w:t>
      </w:r>
      <w:r>
        <w:rPr>
          <w:rStyle w:val="Fill-in"/>
        </w:rPr>
        <w:t xml:space="preserve">[Fill in: events that would require the system and services acquisition procedures to be reviewed and updated. Typical: the same events as the policy, and changes to the systems, tools or services the procedures describe]</w:t>
      </w:r>
      <w:r>
        <w:t xml:space="preserve">. (SA-1c.2)</w:t>
      </w:r>
    </w:p>
    <w:bookmarkStart w:id="51" w:name="federal-systems-8"/>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0">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29"/>
        </w:numPr>
      </w:pPr>
      <w:r>
        <w:t xml:space="preserve">Where the agency’s organization-wide policy sets a value for a parameter in this policy, each system shall use that value or a stricter one. (SA-1a.1(b))</w:t>
      </w:r>
    </w:p>
    <w:bookmarkEnd w:id="51"/>
    <w:bookmarkEnd w:id="52"/>
    <w:bookmarkEnd w:id="5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Services Acquisition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0" Target="https://csrc.nist.gov/pubs/fips/201-3/final" TargetMode="External" /><Relationship Type="http://schemas.openxmlformats.org/officeDocument/2006/relationships/hyperlink" Id="rId9" Target="https://kston83.github.io/nist-guide/templates/policies/sa/" TargetMode="External" /><Relationship Type="http://schemas.openxmlformats.org/officeDocument/2006/relationships/hyperlink" Id="rId50" Target="https://uscode.house.gov/view.xhtml?req=granuleid:USC-prelim-title44-section3554&amp;num=0&amp;edition=prelim" TargetMode="External" /><Relationship Type="http://schemas.openxmlformats.org/officeDocument/2006/relationships/hyperlink" Id="rId46" Target="https://www.cisa.gov/news-events/directives/bod-26-02-mitigating-risk-end-support-edge-devices" TargetMode="External" /><Relationship Type="http://schemas.openxmlformats.org/officeDocument/2006/relationships/hyperlink" Id="rId37" Target="https://www.fedramp.gov/2026/authority/m-24-15/" TargetMode="External" /><Relationship Type="http://schemas.openxmlformats.org/officeDocument/2006/relationships/hyperlink" Id="rId31" Target="https://www.idmanagement.gov/fips201/" TargetMode="External" /><Relationship Type="http://schemas.openxmlformats.org/officeDocument/2006/relationships/hyperlink" Id="rId24"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0" Target="https://csrc.nist.gov/pubs/fips/201-3/final" TargetMode="External" /><Relationship Type="http://schemas.openxmlformats.org/officeDocument/2006/relationships/hyperlink" Id="rId9" Target="https://kston83.github.io/nist-guide/templates/policies/sa/" TargetMode="External" /><Relationship Type="http://schemas.openxmlformats.org/officeDocument/2006/relationships/hyperlink" Id="rId50" Target="https://uscode.house.gov/view.xhtml?req=granuleid:USC-prelim-title44-section3554&amp;num=0&amp;edition=prelim" TargetMode="External" /><Relationship Type="http://schemas.openxmlformats.org/officeDocument/2006/relationships/hyperlink" Id="rId46" Target="https://www.cisa.gov/news-events/directives/bod-26-02-mitigating-risk-end-support-edge-devices" TargetMode="External" /><Relationship Type="http://schemas.openxmlformats.org/officeDocument/2006/relationships/hyperlink" Id="rId37" Target="https://www.fedramp.gov/2026/authority/m-24-15/" TargetMode="External" /><Relationship Type="http://schemas.openxmlformats.org/officeDocument/2006/relationships/hyperlink" Id="rId31" Target="https://www.idmanagement.gov/fips201/" TargetMode="External" /><Relationship Type="http://schemas.openxmlformats.org/officeDocument/2006/relationships/hyperlink" Id="rId24"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