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5"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Privacy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SA-1,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SA-1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41"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1" w:name="allocation-of-resources-sa-2"/>
    <w:p>
      <w:pPr>
        <w:pStyle w:val="Heading3"/>
      </w:pPr>
      <w:r>
        <w:t xml:space="preserve">Allocation of resources (SA-2)</w:t>
      </w:r>
    </w:p>
    <w:p>
      <w:pPr>
        <w:pStyle w:val="Guidance"/>
      </w:pPr>
      <w:r>
        <w:t xml:space="preserve">SA-2 makes security and privacy part of the business case for each system, not a cost found later. NIST’s SA-2 discussion includes funding for acquisition, sustainment and supply chain risk across the whole life cycle. Evidence is the requirements in the planning documents and a separate security and privacy line in the budget request; the organization-wide side of this is PM-3.</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4" w:name="system-development-life-cycle-sa-3"/>
    <w:p>
      <w:pPr>
        <w:pStyle w:val="Heading3"/>
      </w:pPr>
      <w:r>
        <w:t xml:space="preserve">System development life cycle (SA-3)</w:t>
      </w:r>
    </w:p>
    <w:p>
      <w:pPr>
        <w:pStyle w:val="Guidance"/>
      </w:pPr>
      <w:r>
        <w:t xml:space="preserve">The system development life cycle (SDLC) is where the Risk Management Framework’s tasks happen: NIST SP 800-37 Rev. 2 (</w:t>
      </w:r>
      <w:hyperlink r:id="rId22">
        <w:r>
          <w:rPr>
            <w:rStyle w:val="Hyperlink"/>
          </w:rPr>
          <w:t xml:space="preserve">December 2018</w:t>
        </w:r>
      </w:hyperlink>
      <w:r>
        <w:t xml:space="preserve">, current as of September 2026) ties each RMF task to an SDLC phase, using the phase names in the typical value. NIST’s SA-3 discussion calls for qualified security and privacy staff in SDLC processes and role-based training for them (AT-3). SA-3 leaves the life cycle model to the organization, iterative or sequential; what an assessor checks is that each phase has defined security and privacy activities and someone accountable for them.</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3"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3"/>
    <w:bookmarkEnd w:id="24"/>
    <w:bookmarkStart w:id="29" w:name="acquisition-process-sa-4"/>
    <w:p>
      <w:pPr>
        <w:pStyle w:val="Heading3"/>
      </w:pPr>
      <w:r>
        <w:t xml:space="preserve">Acquisition process (SA-4)</w:t>
      </w:r>
    </w:p>
    <w:p>
      <w:pPr>
        <w:pStyle w:val="Guidance"/>
      </w:pPr>
      <w:r>
        <w:t xml:space="preserve">SA-4 puts the security and privacy requirements into the contract, where a supplier is bound by them. NIST’s SA-4 discussion derives the functional requirements from the high-level requirements set under SA-2, and points to NIST SP 800-160 Vol. 1 Rev. 1, Engineering Trustworthy Secure Systems (</w:t>
      </w:r>
      <w:hyperlink r:id="rId25">
        <w:r>
          <w:rPr>
            <w:rStyle w:val="Hyperlink"/>
          </w:rPr>
          <w:t xml:space="preserve">November 2022</w:t>
        </w:r>
      </w:hyperlink>
      <w:r>
        <w:t xml:space="preserve">, current as of September 2026), for requirements engineering. Standard clauses keep contracts consistent; each acquisition still needs its own requirements, controls and acceptance criteria. Assessors sample recent contracts for a system and check each item a to i is present, in the text or by reference. The</w:t>
      </w:r>
      <w:r>
        <w:t xml:space="preserve"> </w:t>
      </w:r>
      <w:hyperlink r:id="rId26">
        <w:r>
          <w:rPr>
            <w:rStyle w:val="Hyperlink"/>
          </w:rPr>
          <w:t xml:space="preserve">acquisition security requirements</w:t>
        </w:r>
      </w:hyperlink>
      <w:r>
        <w:t xml:space="preserve"> </w:t>
      </w:r>
      <w:r>
        <w:t xml:space="preserve">standard gives the standard contract requirements and the checklist for the solicitation review.</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p>
      <w:pPr>
        <w:pStyle w:val="Guidance"/>
      </w:pPr>
      <w:r>
        <w:t xml:space="preserve">NIST’s SA-4 discussion also suggests other requirements that support security and operations: the responsibilities of the organization and the developer, and notice and timing for support, maintenance and updates. Add the time within which a supplier must report an incident or a vulnerability in its product, and how long it will provide security updates, since both drive IR-6 and SA-22.</w:t>
      </w:r>
    </w:p>
    <w:bookmarkStart w:id="28"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7">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8"/>
    <w:bookmarkEnd w:id="29"/>
    <w:bookmarkStart w:id="33" w:name="minimization-sa-833"/>
    <w:p>
      <w:pPr>
        <w:pStyle w:val="Heading3"/>
      </w:pPr>
      <w:r>
        <w:t xml:space="preserve">Minimization (SA-8(33))</w:t>
      </w:r>
    </w:p>
    <w:p>
      <w:pPr>
        <w:pStyle w:val="Guidance"/>
      </w:pPr>
      <w:r>
        <w:t xml:space="preserve">Minimization means processing only the personally identifiable information that is directly relevant and necessary to an authorized purpose, and keeping it only as long as that purpose needs, as NIST’s SA-8(33) discussion puts it. SA-8(33) builds the principle into the design; SI-12(1) limits the elements a running system processes, and SI-12(2) limits personally identifiable information in testing, training and research. The minimization section of the</w:t>
      </w:r>
      <w:r>
        <w:t xml:space="preserve"> </w:t>
      </w:r>
      <w:hyperlink r:id="rId30">
        <w:r>
          <w:rPr>
            <w:rStyle w:val="Hyperlink"/>
          </w:rPr>
          <w:t xml:space="preserve">privacy impact assessment</w:t>
        </w:r>
      </w:hyperlink>
      <w:r>
        <w:t xml:space="preserve"> </w:t>
      </w:r>
      <w:r>
        <w:t xml:space="preserve">is the usual record. SA-8(33) is in the Privacy baseline only.</w:t>
      </w:r>
    </w:p>
    <w:p>
      <w:pPr>
        <w:pStyle w:val="Compact"/>
        <w:numPr>
          <w:ilvl w:val="0"/>
          <w:numId w:val="1010"/>
        </w:numPr>
      </w:pPr>
      <w:r>
        <w:t xml:space="preserve">For a system that processes personally identifiable information, the</w:t>
      </w:r>
      <w:r>
        <w:t xml:space="preserve"> </w:t>
      </w:r>
      <w:r>
        <w:rPr>
          <w:rStyle w:val="Fill-in"/>
        </w:rPr>
        <w:t xml:space="preserve">[System owner]</w:t>
      </w:r>
      <w:r>
        <w:t xml:space="preserve"> </w:t>
      </w:r>
      <w:r>
        <w:t xml:space="preserve">shall implement the privacy principle of minimization using</w:t>
      </w:r>
      <w:r>
        <w:t xml:space="preserve"> </w:t>
      </w:r>
      <w:r>
        <w:rPr>
          <w:rStyle w:val="Fill-in"/>
        </w:rPr>
        <w:t xml:space="preserve">[Fill in: processes that implement the privacy principle of minimization. Typical: the minimization review in the system’s privacy impact assessment, which lists the data elements needed for each stated purpose and those left out, and the retention periods and disposal steps set under SI-12]</w:t>
      </w:r>
      <w:r>
        <w:t xml:space="preserve">. (SA-8(33))</w:t>
      </w:r>
    </w:p>
    <w:p>
      <w:pPr>
        <w:pStyle w:val="Compact"/>
        <w:numPr>
          <w:ilvl w:val="0"/>
          <w:numId w:val="1010"/>
        </w:numPr>
      </w:pPr>
      <w:r>
        <w:t xml:space="preserve">The</w:t>
      </w:r>
      <w:r>
        <w:t xml:space="preserve"> </w:t>
      </w:r>
      <w:r>
        <w:rPr>
          <w:rStyle w:val="Fill-in"/>
        </w:rPr>
        <w:t xml:space="preserve">[Senior privacy official]</w:t>
      </w:r>
      <w:r>
        <w:t xml:space="preserve"> </w:t>
      </w:r>
      <w:r>
        <w:t xml:space="preserve">shall review the minimization decisions for each new system, and for each change that adds personally identifiable information or a new purpose, before the change is approved. (SA-8(33))</w:t>
      </w:r>
    </w:p>
    <w:bookmarkStart w:id="32" w:name="federal-systems-3"/>
    <w:p>
      <w:pPr>
        <w:pStyle w:val="Heading4"/>
      </w:pPr>
      <w:r>
        <w:t xml:space="preserve">Federal systems</w:t>
      </w:r>
    </w:p>
    <w:p>
      <w:pPr>
        <w:pStyle w:val="FirstParagraph"/>
      </w:pPr>
      <w:r>
        <w:t xml:space="preserve">The Privacy Act requires each agency that maintains a system of records to</w:t>
      </w:r>
      <w:r>
        <w:t xml:space="preserve"> </w:t>
      </w:r>
      <w:r>
        <w:t xml:space="preserve">“maintain in its records only such information about an individual as is relevant and necessary to accomplish a purpose of the agency required to be accomplished by statute or by executive order of the President”</w:t>
      </w:r>
      <w:r>
        <w:t xml:space="preserve"> </w:t>
      </w:r>
      <w:r>
        <w:t xml:space="preserve">(</w:t>
      </w:r>
      <w:hyperlink r:id="rId31">
        <w:r>
          <w:rPr>
            <w:rStyle w:val="Hyperlink"/>
          </w:rPr>
          <w:t xml:space="preserve">5 U.S.C. § 552a(e)(1)</w:t>
        </w:r>
      </w:hyperlink>
      <w:r>
        <w:t xml:space="preserve">). As of September 2026.</w:t>
      </w:r>
    </w:p>
    <w:p>
      <w:pPr>
        <w:pStyle w:val="Compact"/>
        <w:numPr>
          <w:ilvl w:val="0"/>
          <w:numId w:val="1011"/>
        </w:numPr>
      </w:pPr>
      <w:r>
        <w:t xml:space="preserve">For a system that contains a Privacy Act system of records, the</w:t>
      </w:r>
      <w:r>
        <w:t xml:space="preserve"> </w:t>
      </w:r>
      <w:r>
        <w:rPr>
          <w:rStyle w:val="Fill-in"/>
        </w:rPr>
        <w:t xml:space="preserve">[System owner]</w:t>
      </w:r>
      <w:r>
        <w:t xml:space="preserve"> </w:t>
      </w:r>
      <w:r>
        <w:t xml:space="preserve">shall design the system to maintain only the information about individuals that is relevant and necessary to a purpose of the agency required by statute or executive order, as 5 U.S.C. § 552a(e)(1) requires. (SA-8(33))</w:t>
      </w:r>
    </w:p>
    <w:bookmarkEnd w:id="32"/>
    <w:bookmarkEnd w:id="33"/>
    <w:bookmarkStart w:id="38" w:name="external-system-services-sa-9"/>
    <w:p>
      <w:pPr>
        <w:pStyle w:val="Heading3"/>
      </w:pPr>
      <w:r>
        <w:t xml:space="preserve">External system services (SA-9)</w:t>
      </w:r>
    </w:p>
    <w:p>
      <w:pPr>
        <w:pStyle w:val="Guidance"/>
      </w:pPr>
      <w:r>
        <w:t xml:space="preserve">External system services are cloud platforms, software as a service, hosting, managed security and other services the system relies on but does not run. NIST’s SA-9 discussion keeps the responsibility for their risk with the authorizing official, and has the organization document the basis of its trust in each provider so the relationship can be monitored. A shared responsibility matrix for each service, recorded in the system security plan as inherited, shared or system-owned controls, shows who does what. The</w:t>
      </w:r>
      <w:r>
        <w:t xml:space="preserve"> </w:t>
      </w:r>
      <w:hyperlink r:id="rId34">
        <w:r>
          <w:rPr>
            <w:rStyle w:val="Hyperlink"/>
          </w:rPr>
          <w:t xml:space="preserve">information exchange agreement</w:t>
        </w:r>
      </w:hyperlink>
      <w:r>
        <w:t xml:space="preserve"> </w:t>
      </w:r>
      <w:r>
        <w:t xml:space="preserve">(CA-3) covers the connection; this clause covers the provider. The</w:t>
      </w:r>
      <w:r>
        <w:t xml:space="preserve"> </w:t>
      </w:r>
      <w:hyperlink r:id="rId35">
        <w:r>
          <w:rPr>
            <w:rStyle w:val="Hyperlink"/>
          </w:rPr>
          <w:t xml:space="preserve">external service review</w:t>
        </w:r>
      </w:hyperlink>
      <w:r>
        <w:t xml:space="preserve"> </w:t>
      </w:r>
      <w:r>
        <w:t xml:space="preserve">records the review of each service before use and at each annual review, with a register of every external service.</w:t>
      </w:r>
    </w:p>
    <w:p>
      <w:pPr>
        <w:pStyle w:val="Compact"/>
        <w:numPr>
          <w:ilvl w:val="0"/>
          <w:numId w:val="1012"/>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2"/>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2"/>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2"/>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2"/>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37"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36">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13"/>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13"/>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37"/>
    <w:bookmarkEnd w:id="38"/>
    <w:bookmarkStart w:id="40" w:name="developer-testing-and-evaluation-sa-11"/>
    <w:p>
      <w:pPr>
        <w:pStyle w:val="Heading3"/>
      </w:pPr>
      <w:r>
        <w:t xml:space="preserve">Developer testing and evaluation (SA-11)</w:t>
      </w:r>
    </w:p>
    <w:p>
      <w:pPr>
        <w:pStyle w:val="Guidance"/>
      </w:pPr>
      <w:r>
        <w:t xml:space="preserve">Developer testing finds flaws before the system reaches the assessor or the adversary. NIST’s SA-11 discussion names the approaches: manual code review, security architecture review, penetration testing, and static, dynamic and binary analysis, with instrumentation and fuzzing. It defines depth as the rigor and detail of testing and coverage as the number and type of artifacts tested, and has contracts set acceptance criteria for the plans, the flaw remediation process and the evidence. NIST’s Secure Software Development Framework, SP 800-218 (</w:t>
      </w:r>
      <w:hyperlink r:id="rId39">
        <w:r>
          <w:rPr>
            <w:rStyle w:val="Hyperlink"/>
          </w:rPr>
          <w:t xml:space="preserve">February 2022</w:t>
        </w:r>
      </w:hyperlink>
      <w:r>
        <w:t xml:space="preserve">, version 1.1; as of September 2026), cites SA-11 for practices PW.7, reviewing and analyzing human-readable code, and PW.8, testing executable code.</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of the system, system component or system service, at all post-design stages of the system development life cycle, to develop and implement a plan for ongoing security and privacy control assessments. (SA-11a)</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perform</w:t>
      </w:r>
      <w:r>
        <w:t xml:space="preserve"> </w:t>
      </w:r>
      <w:r>
        <w:rPr>
          <w:rStyle w:val="Fill-in"/>
        </w:rPr>
        <w:t xml:space="preserve">[Select one or more: unit; integration; system; regression. Typical: unit, integration, system and regression]</w:t>
      </w:r>
      <w:r>
        <w:t xml:space="preserve"> </w:t>
      </w:r>
      <w:r>
        <w:t xml:space="preserve">testing and evaluation</w:t>
      </w:r>
      <w:r>
        <w:t xml:space="preserve"> </w:t>
      </w:r>
      <w:r>
        <w:rPr>
          <w:rStyle w:val="Fill-in"/>
        </w:rPr>
        <w:t xml:space="preserve">[Fill in: frequency at which to conduct the selected unit, integration, system or regression testing/evaluation. Typical: with each build for automated tests, and before each release to production for system and regression testing]</w:t>
      </w:r>
      <w:r>
        <w:t xml:space="preserve"> </w:t>
      </w:r>
      <w:r>
        <w:t xml:space="preserve">at</w:t>
      </w:r>
      <w:r>
        <w:t xml:space="preserve"> </w:t>
      </w:r>
      <w:r>
        <w:rPr>
          <w:rStyle w:val="Fill-in"/>
        </w:rPr>
        <w:t xml:space="preserve">[Fill in: depth and coverage of the selected unit, integration, system or regression testing/evaluation. Typical: static analysis of all custom code, analysis of third-party and open-source components for known vulnerabilities, dynamic testing of every externally reachable interface, and a test for each security and privacy requirement]</w:t>
      </w:r>
      <w:r>
        <w:t xml:space="preserve">. (SA-11b)</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produce evidence of the execution of the assessment plan and of the results of the testing and evaluation. (SA-11c)</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implement a verifiable flaw remediation process. (SA-11d)</w:t>
      </w:r>
    </w:p>
    <w:p>
      <w:pPr>
        <w:pStyle w:val="Compact"/>
        <w:numPr>
          <w:ilvl w:val="0"/>
          <w:numId w:val="1014"/>
        </w:numPr>
      </w:pPr>
      <w:r>
        <w:t xml:space="preserve">The</w:t>
      </w:r>
      <w:r>
        <w:t xml:space="preserve"> </w:t>
      </w:r>
      <w:r>
        <w:rPr>
          <w:rStyle w:val="Fill-in"/>
        </w:rPr>
        <w:t xml:space="preserve">[System owner]</w:t>
      </w:r>
      <w:r>
        <w:t xml:space="preserve"> </w:t>
      </w:r>
      <w:r>
        <w:t xml:space="preserve">shall require the developer to correct flaws identified during testing and evaluation, and shall not accept a release with an unresolved flaw unless the risk is accepted (RA-7). (SA-11e)</w:t>
      </w:r>
    </w:p>
    <w:p>
      <w:pPr>
        <w:pStyle w:val="Compact"/>
        <w:numPr>
          <w:ilvl w:val="0"/>
          <w:numId w:val="1014"/>
        </w:numPr>
      </w:pPr>
      <w:r>
        <w:t xml:space="preserve">For a system that processes personally identifiable information, the</w:t>
      </w:r>
      <w:r>
        <w:t xml:space="preserve"> </w:t>
      </w:r>
      <w:r>
        <w:rPr>
          <w:rStyle w:val="Fill-in"/>
        </w:rPr>
        <w:t xml:space="preserve">[System owner]</w:t>
      </w:r>
      <w:r>
        <w:t xml:space="preserve"> </w:t>
      </w:r>
      <w:r>
        <w:t xml:space="preserve">shall ensure the developer’s tests use test data prepared under SI-12(2), not live personally identifiable information, unless the</w:t>
      </w:r>
      <w:r>
        <w:t xml:space="preserve"> </w:t>
      </w:r>
      <w:r>
        <w:rPr>
          <w:rStyle w:val="Fill-in"/>
        </w:rPr>
        <w:t xml:space="preserve">[Senior privacy official]</w:t>
      </w:r>
      <w:r>
        <w:t xml:space="preserve"> </w:t>
      </w:r>
      <w:r>
        <w:t xml:space="preserve">approves otherwise. (SA-11b)</w:t>
      </w:r>
    </w:p>
    <w:bookmarkEnd w:id="40"/>
    <w:bookmarkEnd w:id="41"/>
    <w:bookmarkStart w:id="44" w:name="review-and-update"/>
    <w:p>
      <w:pPr>
        <w:pStyle w:val="Heading2"/>
      </w:pPr>
      <w:r>
        <w:t xml:space="preserve">Review and update</w:t>
      </w:r>
    </w:p>
    <w:p>
      <w:pPr>
        <w:pStyle w:val="Compact"/>
        <w:numPr>
          <w:ilvl w:val="0"/>
          <w:numId w:val="1015"/>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15"/>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43" w:name="federal-systems-5"/>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2">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16"/>
        </w:numPr>
      </w:pPr>
      <w:r>
        <w:t xml:space="preserve">Where the agency’s organization-wide policy sets a value for a parameter in this policy, each system shall use that value or a stricter one. (SA-1a.1(b))</w:t>
      </w:r>
    </w:p>
    <w:bookmarkEnd w:id="43"/>
    <w:bookmarkEnd w:id="44"/>
    <w:bookmarkEnd w:id="45"/>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5" Target="https://csrc.nist.gov/pubs/sp/800/160/v1/r1/final" TargetMode="External" /><Relationship Type="http://schemas.openxmlformats.org/officeDocument/2006/relationships/hyperlink" Id="rId39" Target="https://csrc.nist.gov/pubs/sp/800/218/final" TargetMode="External" /><Relationship Type="http://schemas.openxmlformats.org/officeDocument/2006/relationships/hyperlink" Id="rId22" Target="https://csrc.nist.gov/pubs/sp/800/37/r2/final" TargetMode="External" /><Relationship Type="http://schemas.openxmlformats.org/officeDocument/2006/relationships/hyperlink" Id="rId35" Target="https://kston83.github.io/nist-guide/templates/forms/external-service-review/" TargetMode="External" /><Relationship Type="http://schemas.openxmlformats.org/officeDocument/2006/relationships/hyperlink" Id="rId34"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30" Target="https://kston83.github.io/nist-guide/templates/reports/privacy-impact-assessment/"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42" Target="https://uscode.house.gov/view.xhtml?req=granuleid:USC-prelim-title44-section3554&amp;num=0&amp;edition=prelim" TargetMode="External" /><Relationship Type="http://schemas.openxmlformats.org/officeDocument/2006/relationships/hyperlink" Id="rId31" Target="https://uscode.house.gov/view.xhtml?req=granuleid:USC-prelim-title5-section552a&amp;num=0&amp;edition=prelim" TargetMode="External" /><Relationship Type="http://schemas.openxmlformats.org/officeDocument/2006/relationships/hyperlink" Id="rId36" Target="https://www.fedramp.gov/2026/authority/m-24-15/"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5" Target="https://csrc.nist.gov/pubs/sp/800/160/v1/r1/final" TargetMode="External" /><Relationship Type="http://schemas.openxmlformats.org/officeDocument/2006/relationships/hyperlink" Id="rId39" Target="https://csrc.nist.gov/pubs/sp/800/218/final" TargetMode="External" /><Relationship Type="http://schemas.openxmlformats.org/officeDocument/2006/relationships/hyperlink" Id="rId22" Target="https://csrc.nist.gov/pubs/sp/800/37/r2/final" TargetMode="External" /><Relationship Type="http://schemas.openxmlformats.org/officeDocument/2006/relationships/hyperlink" Id="rId35" Target="https://kston83.github.io/nist-guide/templates/forms/external-service-review/" TargetMode="External" /><Relationship Type="http://schemas.openxmlformats.org/officeDocument/2006/relationships/hyperlink" Id="rId34" Target="https://kston83.github.io/nist-guide/templates/forms/information-exchange-agreement/" TargetMode="External" /><Relationship Type="http://schemas.openxmlformats.org/officeDocument/2006/relationships/hyperlink" Id="rId9" Target="https://kston83.github.io/nist-guide/templates/policies/sa/" TargetMode="External" /><Relationship Type="http://schemas.openxmlformats.org/officeDocument/2006/relationships/hyperlink" Id="rId30" Target="https://kston83.github.io/nist-guide/templates/reports/privacy-impact-assessment/" TargetMode="External" /><Relationship Type="http://schemas.openxmlformats.org/officeDocument/2006/relationships/hyperlink" Id="rId26" Target="https://kston83.github.io/nist-guide/templates/standards/acquisition-security-requirements/" TargetMode="External" /><Relationship Type="http://schemas.openxmlformats.org/officeDocument/2006/relationships/hyperlink" Id="rId42" Target="https://uscode.house.gov/view.xhtml?req=granuleid:USC-prelim-title44-section3554&amp;num=0&amp;edition=prelim" TargetMode="External" /><Relationship Type="http://schemas.openxmlformats.org/officeDocument/2006/relationships/hyperlink" Id="rId31" Target="https://uscode.house.gov/view.xhtml?req=granuleid:USC-prelim-title5-section552a&amp;num=0&amp;edition=prelim" TargetMode="External" /><Relationship Type="http://schemas.openxmlformats.org/officeDocument/2006/relationships/hyperlink" Id="rId36" Target="https://www.fedramp.gov/2026/authority/m-24-15/" TargetMode="External" /><Relationship Type="http://schemas.openxmlformats.org/officeDocument/2006/relationships/hyperlink" Id="rId27"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