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34" w:name="policy-statements"/>
    <w:p>
      <w:pPr>
        <w:pStyle w:val="Heading2"/>
      </w:pPr>
      <w:r>
        <w:t xml:space="preserve">Policy statements</w:t>
      </w:r>
    </w:p>
    <w:bookmarkStart w:id="21" w:name="allocation-of-resources-sa-2"/>
    <w:p>
      <w:pPr>
        <w:pStyle w:val="Heading3"/>
      </w:pPr>
      <w:r>
        <w:t xml:space="preserve">Allocation of resources (SA-2)</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3" w:name="system-development-life-cycle-sa-3"/>
    <w:p>
      <w:pPr>
        <w:pStyle w:val="Heading3"/>
      </w:pPr>
      <w:r>
        <w:t xml:space="preserve">System development life cycle (SA-3)</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2"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2"/>
    <w:bookmarkEnd w:id="23"/>
    <w:bookmarkStart w:id="26" w:name="acquisition-process-sa-4"/>
    <w:p>
      <w:pPr>
        <w:pStyle w:val="Heading3"/>
      </w:pPr>
      <w:r>
        <w:t xml:space="preserve">Acquisition process (SA-4)</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25"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4">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5"/>
    <w:bookmarkEnd w:id="26"/>
    <w:bookmarkStart w:id="29" w:name="minimization-sa-833"/>
    <w:p>
      <w:pPr>
        <w:pStyle w:val="Heading3"/>
      </w:pPr>
      <w:r>
        <w:t xml:space="preserve">Minimization (SA-8(33))</w:t>
      </w:r>
    </w:p>
    <w:p>
      <w:pPr>
        <w:pStyle w:val="Compact"/>
        <w:numPr>
          <w:ilvl w:val="0"/>
          <w:numId w:val="1010"/>
        </w:numPr>
      </w:pPr>
      <w:r>
        <w:t xml:space="preserve">For a system that processes personally identifiable information, the</w:t>
      </w:r>
      <w:r>
        <w:t xml:space="preserve"> </w:t>
      </w:r>
      <w:r>
        <w:rPr>
          <w:rStyle w:val="Fill-in"/>
        </w:rPr>
        <w:t xml:space="preserve">[System owner]</w:t>
      </w:r>
      <w:r>
        <w:t xml:space="preserve"> </w:t>
      </w:r>
      <w:r>
        <w:t xml:space="preserve">shall implement the privacy principle of minimization using</w:t>
      </w:r>
      <w:r>
        <w:t xml:space="preserve"> </w:t>
      </w:r>
      <w:r>
        <w:rPr>
          <w:rStyle w:val="Fill-in"/>
        </w:rPr>
        <w:t xml:space="preserve">[Fill in: processes that implement the privacy principle of minimization. Typical: the minimization review in the system’s privacy impact assessment, which lists the data elements needed for each stated purpose and those left out, and the retention periods and disposal steps set under SI-12]</w:t>
      </w:r>
      <w:r>
        <w:t xml:space="preserve">. (SA-8(33))</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review the minimization decisions for each new system, and for each change that adds personally identifiable information or a new purpose, before the change is approved. (SA-8(33))</w:t>
      </w:r>
    </w:p>
    <w:bookmarkStart w:id="28" w:name="federal-systems-3"/>
    <w:p>
      <w:pPr>
        <w:pStyle w:val="Heading4"/>
      </w:pPr>
      <w:r>
        <w:t xml:space="preserve">Federal systems</w:t>
      </w:r>
    </w:p>
    <w:p>
      <w:pPr>
        <w:pStyle w:val="FirstParagraph"/>
      </w:pPr>
      <w:r>
        <w:t xml:space="preserve">The Privacy Act requires each agency that maintains a system of records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27">
        <w:r>
          <w:rPr>
            <w:rStyle w:val="Hyperlink"/>
          </w:rPr>
          <w:t xml:space="preserve">5 U.S.C. § 552a(e)(1)</w:t>
        </w:r>
      </w:hyperlink>
      <w:r>
        <w:t xml:space="preserve">). As of September 2026.</w:t>
      </w:r>
    </w:p>
    <w:p>
      <w:pPr>
        <w:pStyle w:val="Compact"/>
        <w:numPr>
          <w:ilvl w:val="0"/>
          <w:numId w:val="1011"/>
        </w:numPr>
      </w:pPr>
      <w:r>
        <w:t xml:space="preserve">For a system that contains a Privacy Act system of records, the</w:t>
      </w:r>
      <w:r>
        <w:t xml:space="preserve"> </w:t>
      </w:r>
      <w:r>
        <w:rPr>
          <w:rStyle w:val="Fill-in"/>
        </w:rPr>
        <w:t xml:space="preserve">[System owner]</w:t>
      </w:r>
      <w:r>
        <w:t xml:space="preserve"> </w:t>
      </w:r>
      <w:r>
        <w:t xml:space="preserve">shall design the system to maintain only the information about individuals that is relevant and necessary to a purpose of the agency required by statute or executive order, as 5 U.S.C. § 552a(e)(1) requires. (SA-8(33))</w:t>
      </w:r>
    </w:p>
    <w:bookmarkEnd w:id="28"/>
    <w:bookmarkEnd w:id="29"/>
    <w:bookmarkStart w:id="32" w:name="external-system-services-sa-9"/>
    <w:p>
      <w:pPr>
        <w:pStyle w:val="Heading3"/>
      </w:pPr>
      <w:r>
        <w:t xml:space="preserve">External system services (SA-9)</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2"/>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2"/>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2"/>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2"/>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1"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0">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13"/>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13"/>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1"/>
    <w:bookmarkEnd w:id="32"/>
    <w:bookmarkStart w:id="33" w:name="developer-testing-and-evaluation-sa-11"/>
    <w:p>
      <w:pPr>
        <w:pStyle w:val="Heading3"/>
      </w:pPr>
      <w:r>
        <w:t xml:space="preserve">Developer testing and evaluation (SA-11)</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014"/>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33"/>
    <w:bookmarkEnd w:id="34"/>
    <w:bookmarkStart w:id="37"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15"/>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36"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5">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(SA-1a.1(b))</w:t>
      </w:r>
    </w:p>
    <w:bookmarkEnd w:id="36"/>
    <w:bookmarkEnd w:id="37"/>
    <w:bookmarkEnd w:id="3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a/"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7" Target="https://uscode.house.gov/view.xhtml?req=granuleid:USC-prelim-title5-section552a&amp;num=0&amp;edition=prelim" TargetMode="External" /><Relationship Type="http://schemas.openxmlformats.org/officeDocument/2006/relationships/hyperlink" Id="rId30" Target="https://www.fedramp.gov/2026/authority/m-24-15/"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a/"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7" Target="https://uscode.house.gov/view.xhtml?req=granuleid:USC-prelim-title5-section552a&amp;num=0&amp;edition=prelim" TargetMode="External" /><Relationship Type="http://schemas.openxmlformats.org/officeDocument/2006/relationships/hyperlink" Id="rId30" Target="https://www.fedramp.gov/2026/authority/m-24-15/"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