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3" w:name="X5ffdabf1df3a1fedc369807b5cf667e45086be7"/>
    <w:p>
      <w:pPr>
        <w:pStyle w:val="Heading1"/>
      </w:pPr>
      <w:r>
        <w:t xml:space="preserve">System and Communications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SC-1,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SC-1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Communications Protection, and who is accountable for meeting those requirements. (SC-1a.1(a))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(SC-1a.1(a))</w:t>
      </w:r>
    </w:p>
    <w:p>
      <w:pPr>
        <w:pStyle w:val="Compact"/>
        <w:numPr>
          <w:ilvl w:val="0"/>
          <w:numId w:val="1001"/>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manage the development, documentation and dissemination of this policy and its procedures. (SC-1b)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(SC-1a.1(a))</w:t>
      </w:r>
    </w:p>
    <w:p>
      <w:pPr>
        <w:pStyle w:val="Compact"/>
        <w:numPr>
          <w:ilvl w:val="0"/>
          <w:numId w:val="1002"/>
        </w:numPr>
      </w:pPr>
      <w:r>
        <w:t xml:space="preserve">Violations of this policy shall be handled through the organization’s sanctions process. (SC-1a.1(a))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ensure that documented procedures exist to implement this policy and its associated controls. (SC-1a.2)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communications protection policy is to be disseminated. Typical: everyone within its scope, through the policy library]</w:t>
      </w:r>
      <w:r>
        <w:t xml:space="preserve">. (SC-1a)</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communications protection procedures are to be disseminated. Typical: the people who carry them out, and the system owners]</w:t>
      </w:r>
      <w:r>
        <w:t xml:space="preserve">. (SC-1a)</w:t>
      </w:r>
    </w:p>
    <w:bookmarkEnd w:id="18"/>
    <w:bookmarkStart w:id="58"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19" w:name="Xe6b6cf868521971e556ffc96448944869c425f3"/>
    <w:p>
      <w:pPr>
        <w:pStyle w:val="Heading3"/>
      </w:pPr>
      <w:r>
        <w:t xml:space="preserve">Separation of system and user functionality (SC-2)</w:t>
      </w:r>
    </w:p>
    <w:p>
      <w:pPr>
        <w:pStyle w:val="Guidance"/>
      </w:pPr>
      <w:r>
        <w:t xml:space="preserve">Keep administration interfaces apart from the interfaces users see: separate administrative consoles, ports or network segments, separate administrator accounts, and management planes not reachable from user networks or the internet.</w:t>
      </w:r>
    </w:p>
    <w:p>
      <w:pPr>
        <w:pStyle w:val="Compact"/>
        <w:numPr>
          <w:ilvl w:val="0"/>
          <w:numId w:val="1004"/>
        </w:numPr>
      </w:pPr>
      <w:r>
        <w:t xml:space="preserve">The</w:t>
      </w:r>
      <w:r>
        <w:t xml:space="preserve"> </w:t>
      </w:r>
      <w:r>
        <w:rPr>
          <w:rStyle w:val="Fill-in"/>
        </w:rPr>
        <w:t xml:space="preserve">[System owner]</w:t>
      </w:r>
      <w:r>
        <w:t xml:space="preserve"> </w:t>
      </w:r>
      <w:r>
        <w:t xml:space="preserve">shall ensure the system separates user functionality, including user interface services, from system management functionality. (SC-2)</w:t>
      </w:r>
    </w:p>
    <w:bookmarkEnd w:id="19"/>
    <w:bookmarkStart w:id="20" w:name="security-function-isolation-sc-3"/>
    <w:p>
      <w:pPr>
        <w:pStyle w:val="Heading3"/>
      </w:pPr>
      <w:r>
        <w:t xml:space="preserve">Security function isolation (SC-3)</w:t>
      </w:r>
    </w:p>
    <w:p>
      <w:pPr>
        <w:pStyle w:val="Guidance"/>
      </w:pPr>
      <w:r>
        <w:t xml:space="preserve">Security functions include access enforcement, authentication, audit and cryptographic key management. Isolation is usually provided by the operating system, hypervisor or cloud platform and by running security services on dedicated components. SC-3 is in the High baseline.</w:t>
      </w:r>
    </w:p>
    <w:p>
      <w:pPr>
        <w:pStyle w:val="Compact"/>
        <w:numPr>
          <w:ilvl w:val="0"/>
          <w:numId w:val="1005"/>
        </w:numPr>
      </w:pPr>
      <w:r>
        <w:t xml:space="preserve">The</w:t>
      </w:r>
      <w:r>
        <w:t xml:space="preserve"> </w:t>
      </w:r>
      <w:r>
        <w:rPr>
          <w:rStyle w:val="Fill-in"/>
        </w:rPr>
        <w:t xml:space="preserve">[System owner]</w:t>
      </w:r>
      <w:r>
        <w:t xml:space="preserve"> </w:t>
      </w:r>
      <w:r>
        <w:t xml:space="preserve">shall ensure the system isolates security functions from nonsecurity functions. (SC-3)</w:t>
      </w:r>
    </w:p>
    <w:bookmarkEnd w:id="20"/>
    <w:bookmarkStart w:id="21" w:name="Xf7b035ce55723c38c212f1cfddb66a3b4904ab8"/>
    <w:p>
      <w:pPr>
        <w:pStyle w:val="Heading3"/>
      </w:pPr>
      <w:r>
        <w:t xml:space="preserve">Information in shared system resources (SC-4)</w:t>
      </w:r>
    </w:p>
    <w:p>
      <w:pPr>
        <w:pStyle w:val="Guidance"/>
      </w:pPr>
      <w:r>
        <w:t xml:space="preserve">This control is about residual information: memory, storage and caches reused by another user or process must not reveal what the last one left. Operating systems and cloud platforms usually provide it; the system owner confirms it and covers any shared resources the application manages itself.</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prevents unauthorized and unintended information transfer through shared system resources. (SC-4)</w:t>
      </w:r>
    </w:p>
    <w:bookmarkEnd w:id="21"/>
    <w:bookmarkStart w:id="22" w:name="denial-of-service-protection-sc-5"/>
    <w:p>
      <w:pPr>
        <w:pStyle w:val="Heading3"/>
      </w:pPr>
      <w:r>
        <w:t xml:space="preserve">Denial-of-service protection (SC-5)</w:t>
      </w:r>
    </w:p>
    <w:p>
      <w:pPr>
        <w:pStyle w:val="Guidance"/>
      </w:pPr>
      <w:r>
        <w:t xml:space="preserve">Most organizations meet this through their internet or cloud provider’s denial-of-service protection, plus rate limiting and autoscaling for their own services. Record which protections are inherited and which the system provides.</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007"/>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22"/>
    <w:bookmarkStart w:id="26" w:name="boundary-protection-sc-7"/>
    <w:p>
      <w:pPr>
        <w:pStyle w:val="Heading3"/>
      </w:pPr>
      <w:r>
        <w:t xml:space="preserve">Boundary protection (SC-7)</w:t>
      </w:r>
    </w:p>
    <w:p>
      <w:pPr>
        <w:pStyle w:val="Guidance"/>
      </w:pPr>
      <w:r>
        <w:t xml:space="preserve">Every external connection goes through a managed interface, such as a firewall, cloud security group, gateway or proxy, and public-facing components sit in their own subnetwork. The boundary diagram in the system security plan is where assessors start. The</w:t>
      </w:r>
      <w:r>
        <w:t xml:space="preserve"> </w:t>
      </w:r>
      <w:hyperlink r:id="rId23">
        <w:r>
          <w:rPr>
            <w:rStyle w:val="Hyperlink"/>
          </w:rPr>
          <w:t xml:space="preserve">Boundary Protection Standard</w:t>
        </w:r>
      </w:hyperlink>
      <w:r>
        <w:t xml:space="preserve"> </w:t>
      </w:r>
      <w:r>
        <w:t xml:space="preserve">sets the managed interfaces, rule sets, allowed flows and review cycle.</w:t>
      </w:r>
    </w:p>
    <w:p>
      <w:pPr>
        <w:pStyle w:val="Compact"/>
        <w:numPr>
          <w:ilvl w:val="0"/>
          <w:numId w:val="1008"/>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008"/>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008"/>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25" w:name="federal-systems"/>
    <w:p>
      <w:pPr>
        <w:pStyle w:val="Heading4"/>
      </w:pPr>
      <w:r>
        <w:t xml:space="preserve">Federal systems</w:t>
      </w:r>
    </w:p>
    <w:p>
      <w:pPr>
        <w:pStyle w:val="FirstParagraph"/>
      </w:pPr>
      <w:r>
        <w:t xml:space="preserve">Federal civilian agencies secure their network connections under CISA’s</w:t>
      </w:r>
      <w:r>
        <w:t xml:space="preserve"> </w:t>
      </w:r>
      <w:hyperlink r:id="rId24">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25"/>
    <w:bookmarkEnd w:id="26"/>
    <w:bookmarkStart w:id="27" w:name="access-points-sc-73"/>
    <w:p>
      <w:pPr>
        <w:pStyle w:val="Heading3"/>
      </w:pPr>
      <w:r>
        <w:t xml:space="preserve">Access points (SC-7(3))</w:t>
      </w:r>
    </w:p>
    <w:p>
      <w:pPr>
        <w:pStyle w:val="Compact"/>
        <w:numPr>
          <w:ilvl w:val="0"/>
          <w:numId w:val="1010"/>
        </w:numPr>
      </w:pPr>
      <w:r>
        <w:t xml:space="preserve">The</w:t>
      </w:r>
      <w:r>
        <w:t xml:space="preserve"> </w:t>
      </w:r>
      <w:r>
        <w:rPr>
          <w:rStyle w:val="Fill-in"/>
        </w:rPr>
        <w:t xml:space="preserve">[System owner]</w:t>
      </w:r>
      <w:r>
        <w:t xml:space="preserve"> </w:t>
      </w:r>
      <w:r>
        <w:t xml:space="preserve">shall limit the number of external network connections to the system. (SC-7(3))</w:t>
      </w:r>
    </w:p>
    <w:bookmarkEnd w:id="27"/>
    <w:bookmarkStart w:id="28" w:name="X91c47195151bce19937285e13f3f2027405eb2a"/>
    <w:p>
      <w:pPr>
        <w:pStyle w:val="Heading3"/>
      </w:pPr>
      <w:r>
        <w:t xml:space="preserve">External telecommunications services (SC-7(4))</w:t>
      </w:r>
    </w:p>
    <w:p>
      <w:pPr>
        <w:pStyle w:val="Guidance"/>
      </w:pPr>
      <w:r>
        <w:t xml:space="preserve">Control plane traffic is the routing and signaling traffic between networks, such as BGP route announcements. Items (f) to (h) usually fall to the network or internet service team: route filtering, and publishing the organization’s address space and routing policy so others can detect hijacked routes.</w:t>
      </w:r>
    </w:p>
    <w:p>
      <w:pPr>
        <w:pStyle w:val="Compact"/>
        <w:numPr>
          <w:ilvl w:val="0"/>
          <w:numId w:val="1011"/>
        </w:numPr>
      </w:pPr>
      <w:r>
        <w:t xml:space="preserve">The</w:t>
      </w:r>
      <w:r>
        <w:t xml:space="preserve"> </w:t>
      </w:r>
      <w:r>
        <w:rPr>
          <w:rStyle w:val="Fill-in"/>
        </w:rPr>
        <w:t xml:space="preserve">[System owner]</w:t>
      </w:r>
      <w:r>
        <w:t xml:space="preserve"> </w:t>
      </w:r>
      <w:r>
        <w:t xml:space="preserve">shall implement a managed interface for each external telecommunication service. (SC-7(4)(a))</w:t>
      </w:r>
    </w:p>
    <w:p>
      <w:pPr>
        <w:pStyle w:val="Compact"/>
        <w:numPr>
          <w:ilvl w:val="0"/>
          <w:numId w:val="1011"/>
        </w:numPr>
      </w:pPr>
      <w:r>
        <w:t xml:space="preserve">The</w:t>
      </w:r>
      <w:r>
        <w:t xml:space="preserve"> </w:t>
      </w:r>
      <w:r>
        <w:rPr>
          <w:rStyle w:val="Fill-in"/>
        </w:rPr>
        <w:t xml:space="preserve">[System owner]</w:t>
      </w:r>
      <w:r>
        <w:t xml:space="preserve"> </w:t>
      </w:r>
      <w:r>
        <w:t xml:space="preserve">shall establish a traffic flow policy for each managed interface. (SC-7(4)(b))</w:t>
      </w:r>
    </w:p>
    <w:p>
      <w:pPr>
        <w:pStyle w:val="Compact"/>
        <w:numPr>
          <w:ilvl w:val="0"/>
          <w:numId w:val="1011"/>
        </w:numPr>
      </w:pPr>
      <w:r>
        <w:t xml:space="preserve">The</w:t>
      </w:r>
      <w:r>
        <w:t xml:space="preserve"> </w:t>
      </w:r>
      <w:r>
        <w:rPr>
          <w:rStyle w:val="Fill-in"/>
        </w:rPr>
        <w:t xml:space="preserve">[System owner]</w:t>
      </w:r>
      <w:r>
        <w:t xml:space="preserve"> </w:t>
      </w:r>
      <w:r>
        <w:t xml:space="preserve">shall protect the confidentiality and integrity of the information transmitted across each interface. (SC-7(4)(c))</w:t>
      </w:r>
    </w:p>
    <w:p>
      <w:pPr>
        <w:pStyle w:val="Compact"/>
        <w:numPr>
          <w:ilvl w:val="0"/>
          <w:numId w:val="1011"/>
        </w:numPr>
      </w:pPr>
      <w:r>
        <w:t xml:space="preserve">The</w:t>
      </w:r>
      <w:r>
        <w:t xml:space="preserve"> </w:t>
      </w:r>
      <w:r>
        <w:rPr>
          <w:rStyle w:val="Fill-in"/>
        </w:rPr>
        <w:t xml:space="preserve">[System owner]</w:t>
      </w:r>
      <w:r>
        <w:t xml:space="preserve"> </w:t>
      </w:r>
      <w:r>
        <w:t xml:space="preserve">shall document each exception to the traffic flow policy with the mission or business need that supports it and the duration of that need. (SC-7(4)(d))</w:t>
      </w:r>
    </w:p>
    <w:p>
      <w:pPr>
        <w:pStyle w:val="Compact"/>
        <w:numPr>
          <w:ilvl w:val="0"/>
          <w:numId w:val="1011"/>
        </w:numPr>
      </w:pPr>
      <w:r>
        <w:t xml:space="preserve">The</w:t>
      </w:r>
      <w:r>
        <w:t xml:space="preserve"> </w:t>
      </w:r>
      <w:r>
        <w:rPr>
          <w:rStyle w:val="Fill-in"/>
        </w:rPr>
        <w:t xml:space="preserve">[System owner]</w:t>
      </w:r>
      <w:r>
        <w:t xml:space="preserve"> </w:t>
      </w:r>
      <w:r>
        <w:t xml:space="preserve">shall review exceptions to the traffic flow policy</w:t>
      </w:r>
      <w:r>
        <w:t xml:space="preserve"> </w:t>
      </w:r>
      <w:r>
        <w:rPr>
          <w:rStyle w:val="Fill-in"/>
        </w:rPr>
        <w:t xml:space="preserve">[Fill in: the frequency at which to review exceptions to traffic flow policy. Typical: at least annually, and when the system changes]</w:t>
      </w:r>
      <w:r>
        <w:t xml:space="preserve">, and remove exceptions that an explicit mission or business need no longer supports. (SC-7(4)(e))</w:t>
      </w:r>
    </w:p>
    <w:p>
      <w:pPr>
        <w:pStyle w:val="Compact"/>
        <w:numPr>
          <w:ilvl w:val="0"/>
          <w:numId w:val="1011"/>
        </w:numPr>
      </w:pPr>
      <w:r>
        <w:t xml:space="preserve">The</w:t>
      </w:r>
      <w:r>
        <w:t xml:space="preserve"> </w:t>
      </w:r>
      <w:r>
        <w:rPr>
          <w:rStyle w:val="Fill-in"/>
        </w:rPr>
        <w:t xml:space="preserve">[System owner]</w:t>
      </w:r>
      <w:r>
        <w:t xml:space="preserve"> </w:t>
      </w:r>
      <w:r>
        <w:t xml:space="preserve">shall prevent unauthorized exchange of control plane traffic with external networks. (SC-7(4)(f))</w:t>
      </w:r>
    </w:p>
    <w:p>
      <w:pPr>
        <w:pStyle w:val="Compact"/>
        <w:numPr>
          <w:ilvl w:val="0"/>
          <w:numId w:val="1011"/>
        </w:numPr>
      </w:pPr>
      <w:r>
        <w:t xml:space="preserve">The</w:t>
      </w:r>
      <w:r>
        <w:t xml:space="preserve"> </w:t>
      </w:r>
      <w:r>
        <w:rPr>
          <w:rStyle w:val="Fill-in"/>
        </w:rPr>
        <w:t xml:space="preserve">[System owner]</w:t>
      </w:r>
      <w:r>
        <w:t xml:space="preserve"> </w:t>
      </w:r>
      <w:r>
        <w:t xml:space="preserve">shall publish information that enables remote networks to detect unauthorized control plane traffic from internal networks. (SC-7(4)(g))</w:t>
      </w:r>
    </w:p>
    <w:p>
      <w:pPr>
        <w:pStyle w:val="Compact"/>
        <w:numPr>
          <w:ilvl w:val="0"/>
          <w:numId w:val="1011"/>
        </w:numPr>
      </w:pPr>
      <w:r>
        <w:t xml:space="preserve">The</w:t>
      </w:r>
      <w:r>
        <w:t xml:space="preserve"> </w:t>
      </w:r>
      <w:r>
        <w:rPr>
          <w:rStyle w:val="Fill-in"/>
        </w:rPr>
        <w:t xml:space="preserve">[System owner]</w:t>
      </w:r>
      <w:r>
        <w:t xml:space="preserve"> </w:t>
      </w:r>
      <w:r>
        <w:t xml:space="preserve">shall filter unauthorized control plane traffic from external networks. (SC-7(4)(h))</w:t>
      </w:r>
    </w:p>
    <w:bookmarkEnd w:id="28"/>
    <w:bookmarkStart w:id="29" w:name="deny-by-default-allow-by-exception-sc-75"/>
    <w:p>
      <w:pPr>
        <w:pStyle w:val="Heading3"/>
      </w:pPr>
      <w:r>
        <w:t xml:space="preserve">Deny by default, allow by exception (SC-7(5))</w:t>
      </w:r>
    </w:p>
    <w:p>
      <w:pPr>
        <w:pStyle w:val="Compact"/>
        <w:numPr>
          <w:ilvl w:val="0"/>
          <w:numId w:val="1012"/>
        </w:numPr>
      </w:pPr>
      <w:r>
        <w:t xml:space="preserve">The</w:t>
      </w:r>
      <w:r>
        <w:t xml:space="preserve"> </w:t>
      </w:r>
      <w:r>
        <w:rPr>
          <w:rStyle w:val="Fill-in"/>
        </w:rPr>
        <w:t xml:space="preserve">[System owner]</w:t>
      </w:r>
      <w:r>
        <w:t xml:space="preserve"> </w:t>
      </w:r>
      <w:r>
        <w:t xml:space="preserve">shall ensure network communications traffic is denied by default and allowed by exception</w:t>
      </w:r>
      <w:r>
        <w:t xml:space="preserve"> </w:t>
      </w:r>
      <w:r>
        <w:rPr>
          <w:rStyle w:val="Fill-in"/>
        </w:rPr>
        <w:t xml:space="preserve">[Select one or more: at managed interfaces; for [Assignment: organization-defined systems]. Typical: at managed interfaces]</w:t>
      </w:r>
      <w:r>
        <w:t xml:space="preserve">. (SC-7(5))</w:t>
      </w:r>
    </w:p>
    <w:bookmarkEnd w:id="29"/>
    <w:bookmarkStart w:id="30" w:name="split-tunneling-for-remote-devices-sc-77"/>
    <w:p>
      <w:pPr>
        <w:pStyle w:val="Heading3"/>
      </w:pPr>
      <w:r>
        <w:t xml:space="preserve">Split tunneling for remote devices (SC-7(7))</w:t>
      </w:r>
    </w:p>
    <w:p>
      <w:pPr>
        <w:pStyle w:val="Guidance"/>
      </w:pPr>
      <w:r>
        <w:t xml:space="preserve">Split tunneling lets a remote device reach the internet directly while connected to the organization’s network, bypassing its boundary protections. Where a zero trust access service replaces the virtual private network, record how its design meets the intent.</w:t>
      </w:r>
    </w:p>
    <w:p>
      <w:pPr>
        <w:pStyle w:val="Compact"/>
        <w:numPr>
          <w:ilvl w:val="0"/>
          <w:numId w:val="1013"/>
        </w:numPr>
      </w:pPr>
      <w:r>
        <w:t xml:space="preserve">The</w:t>
      </w:r>
      <w:r>
        <w:t xml:space="preserve"> </w:t>
      </w:r>
      <w:r>
        <w:rPr>
          <w:rStyle w:val="Fill-in"/>
        </w:rPr>
        <w:t xml:space="preserve">[System owner]</w:t>
      </w:r>
      <w:r>
        <w:t xml:space="preserve"> </w:t>
      </w:r>
      <w:r>
        <w:t xml:space="preserve">shall prevent split tunneling for remote devices connecting to organizational systems, except where the split tunnel is securely provisioned using these safeguards:</w:t>
      </w:r>
      <w:r>
        <w:t xml:space="preserve"> </w:t>
      </w:r>
      <w:r>
        <w:rPr>
          <w:rStyle w:val="Fill-in"/>
        </w:rPr>
        <w:t xml:space="preserve">[Fill in: safeguards to securely provision split tunneling. Typical: none; split tunneling is disabled for organization-managed remote devices]</w:t>
      </w:r>
      <w:r>
        <w:t xml:space="preserve">. (SC-7(7))</w:t>
      </w:r>
    </w:p>
    <w:bookmarkEnd w:id="30"/>
    <w:bookmarkStart w:id="31" w:name="X7e071c2e1f7e4c113185cf26608b6e9a0540afd"/>
    <w:p>
      <w:pPr>
        <w:pStyle w:val="Heading3"/>
      </w:pPr>
      <w:r>
        <w:t xml:space="preserve">Route traffic to authenticated proxy servers (SC-7(8))</w:t>
      </w:r>
    </w:p>
    <w:p>
      <w:pPr>
        <w:pStyle w:val="Compact"/>
        <w:numPr>
          <w:ilvl w:val="0"/>
          <w:numId w:val="1014"/>
        </w:numPr>
      </w:pPr>
      <w:r>
        <w:t xml:space="preserve">The</w:t>
      </w:r>
      <w:r>
        <w:t xml:space="preserve"> </w:t>
      </w:r>
      <w:r>
        <w:rPr>
          <w:rStyle w:val="Fill-in"/>
        </w:rPr>
        <w:t xml:space="preserve">[System owner]</w:t>
      </w:r>
      <w:r>
        <w:t xml:space="preserve"> </w:t>
      </w:r>
      <w:r>
        <w:t xml:space="preserve">shall route</w:t>
      </w:r>
      <w:r>
        <w:t xml:space="preserve"> </w:t>
      </w:r>
      <w:r>
        <w:rPr>
          <w:rStyle w:val="Fill-in"/>
        </w:rPr>
        <w:t xml:space="preserve">[Fill in: internal communications traffic to be routed to external networks. Typical: outbound web traffic from internal users]</w:t>
      </w:r>
      <w:r>
        <w:t xml:space="preserve"> </w:t>
      </w:r>
      <w:r>
        <w:t xml:space="preserve">to</w:t>
      </w:r>
      <w:r>
        <w:t xml:space="preserve"> </w:t>
      </w:r>
      <w:r>
        <w:rPr>
          <w:rStyle w:val="Fill-in"/>
        </w:rPr>
        <w:t xml:space="preserve">[Fill in: external networks to which internal communications traffic is to be routed. Typical: the internet]</w:t>
      </w:r>
      <w:r>
        <w:t xml:space="preserve"> </w:t>
      </w:r>
      <w:r>
        <w:t xml:space="preserve">through authenticated proxy servers at managed interfaces. (SC-7(8))</w:t>
      </w:r>
    </w:p>
    <w:bookmarkEnd w:id="31"/>
    <w:bookmarkStart w:id="32" w:name="fail-secure-sc-718"/>
    <w:p>
      <w:pPr>
        <w:pStyle w:val="Heading3"/>
      </w:pPr>
      <w:r>
        <w:t xml:space="preserve">Fail secure (SC-7(18))</w:t>
      </w:r>
    </w:p>
    <w:p>
      <w:pPr>
        <w:pStyle w:val="Guidance"/>
      </w:pPr>
      <w:r>
        <w:t xml:space="preserve">SC-7(18) is in the High baseline. A boundary device that fails should block traffic, not pass it; confirm the setting for each firewall, gateway and proxy, and test it.</w:t>
      </w:r>
    </w:p>
    <w:p>
      <w:pPr>
        <w:pStyle w:val="Compact"/>
        <w:numPr>
          <w:ilvl w:val="0"/>
          <w:numId w:val="1015"/>
        </w:numPr>
      </w:pPr>
      <w:r>
        <w:t xml:space="preserve">The</w:t>
      </w:r>
      <w:r>
        <w:t xml:space="preserve"> </w:t>
      </w:r>
      <w:r>
        <w:rPr>
          <w:rStyle w:val="Fill-in"/>
        </w:rPr>
        <w:t xml:space="preserve">[System owner]</w:t>
      </w:r>
      <w:r>
        <w:t xml:space="preserve"> </w:t>
      </w:r>
      <w:r>
        <w:t xml:space="preserve">shall prevent the system from entering an unsecure state when a boundary protection device fails. (SC-7(18))</w:t>
      </w:r>
    </w:p>
    <w:bookmarkEnd w:id="32"/>
    <w:bookmarkStart w:id="33" w:name="isolation-of-system-components-sc-721"/>
    <w:p>
      <w:pPr>
        <w:pStyle w:val="Heading3"/>
      </w:pPr>
      <w:r>
        <w:t xml:space="preserve">Isolation of system components (SC-7(21))</w:t>
      </w:r>
    </w:p>
    <w:p>
      <w:pPr>
        <w:pStyle w:val="Guidance"/>
      </w:pPr>
      <w:r>
        <w:t xml:space="preserve">SC-7(21) is in the High baseline. Isolation is usually a separate network segment or cloud account with its own boundary rules.</w:t>
      </w:r>
    </w:p>
    <w:p>
      <w:pPr>
        <w:pStyle w:val="Compact"/>
        <w:numPr>
          <w:ilvl w:val="0"/>
          <w:numId w:val="1016"/>
        </w:numPr>
      </w:pPr>
      <w:r>
        <w:t xml:space="preserve">The</w:t>
      </w:r>
      <w:r>
        <w:t xml:space="preserve"> </w:t>
      </w:r>
      <w:r>
        <w:rPr>
          <w:rStyle w:val="Fill-in"/>
        </w:rPr>
        <w:t xml:space="preserve">[System owner]</w:t>
      </w:r>
      <w:r>
        <w:t xml:space="preserve"> </w:t>
      </w:r>
      <w:r>
        <w:t xml:space="preserve">shall employ boundary protection mechanisms to isolate</w:t>
      </w:r>
      <w:r>
        <w:t xml:space="preserve"> </w:t>
      </w:r>
      <w:r>
        <w:rPr>
          <w:rStyle w:val="Fill-in"/>
        </w:rPr>
        <w:t xml:space="preserve">[Fill in: system components to be isolated by boundary protection mechanisms. Typical: components that process the most sensitive information, and security management components such as identity, key management and logging services]</w:t>
      </w:r>
      <w:r>
        <w:t xml:space="preserve"> </w:t>
      </w:r>
      <w:r>
        <w:t xml:space="preserve">supporting</w:t>
      </w:r>
      <w:r>
        <w:t xml:space="preserve"> </w:t>
      </w:r>
      <w:r>
        <w:rPr>
          <w:rStyle w:val="Fill-in"/>
        </w:rPr>
        <w:t xml:space="preserve">[Fill in: missions and/or business functions to be supported by system components isolated by boundary protection mechanisms. Typical: the essential mission and business functions named in the business impact analysis]</w:t>
      </w:r>
      <w:r>
        <w:t xml:space="preserve">. (SC-7(21))</w:t>
      </w:r>
    </w:p>
    <w:bookmarkEnd w:id="33"/>
    <w:bookmarkStart w:id="36" w:name="X589078ccb071e47f3b398a9312a5d2b07e43442"/>
    <w:p>
      <w:pPr>
        <w:pStyle w:val="Heading3"/>
      </w:pPr>
      <w:r>
        <w:t xml:space="preserve">Transmission confidentiality and integrity (SC-8)</w:t>
      </w:r>
    </w:p>
    <w:p>
      <w:pPr>
        <w:pStyle w:val="Guidance"/>
      </w:pPr>
      <w:r>
        <w:t xml:space="preserve">Protect information while it moves, inside the system as well as across its boundary. At Moderate and High, SC-8(1) makes that protection cryptographic, using the cryptography SC-13 requires.</w:t>
      </w:r>
    </w:p>
    <w:p>
      <w:pPr>
        <w:pStyle w:val="Compact"/>
        <w:numPr>
          <w:ilvl w:val="0"/>
          <w:numId w:val="1017"/>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 transmitted information. (SC-8)</w:t>
      </w:r>
    </w:p>
    <w:bookmarkStart w:id="35" w:name="federal-systems-1"/>
    <w:p>
      <w:pPr>
        <w:pStyle w:val="Heading4"/>
      </w:pPr>
      <w:r>
        <w:t xml:space="preserve">Federal systems</w:t>
      </w:r>
    </w:p>
    <w:p>
      <w:pPr>
        <w:pStyle w:val="FirstParagraph"/>
      </w:pPr>
      <w:r>
        <w:t xml:space="preserve">CISA</w:t>
      </w:r>
      <w:r>
        <w:t xml:space="preserve"> </w:t>
      </w:r>
      <w:hyperlink r:id="rId34">
        <w:r>
          <w:rPr>
            <w:rStyle w:val="Hyperlink"/>
          </w:rPr>
          <w:t xml:space="preserve">Binding Operational Directive 18-01</w:t>
        </w:r>
      </w:hyperlink>
      <w:r>
        <w:t xml:space="preserve">, Enhance Email and Web Security (October 16, 2017), requires that</w:t>
      </w:r>
      <w:r>
        <w:t xml:space="preserve"> </w:t>
      </w:r>
      <w:r>
        <w:t xml:space="preserve">“All publicly accessible Federal websites and web services provide service through a secure connection (HTTPS-only, with HSTS)”</w:t>
      </w:r>
      <w:r>
        <w:t xml:space="preserve">, that internet-facing mail servers offer STARTTLS, and that SSLv2, SSLv3, 3DES and RC4 are disabled on mail servers. CISA’s directive page does not mark it revoked (as of September 2026).</w:t>
      </w:r>
    </w:p>
    <w:p>
      <w:pPr>
        <w:pStyle w:val="Compact"/>
        <w:numPr>
          <w:ilvl w:val="0"/>
          <w:numId w:val="1018"/>
        </w:numPr>
      </w:pPr>
      <w:r>
        <w:t xml:space="preserve">The</w:t>
      </w:r>
      <w:r>
        <w:t xml:space="preserve"> </w:t>
      </w:r>
      <w:r>
        <w:rPr>
          <w:rStyle w:val="Fill-in"/>
        </w:rPr>
        <w:t xml:space="preserve">[System owner]</w:t>
      </w:r>
      <w:r>
        <w:t xml:space="preserve"> </w:t>
      </w:r>
      <w:r>
        <w:t xml:space="preserve">shall ensure each publicly accessible website and web service of the system provides service only through HTTPS, with HTTP Strict Transport Security. (SC-8)</w:t>
      </w:r>
    </w:p>
    <w:p>
      <w:pPr>
        <w:pStyle w:val="Compact"/>
        <w:numPr>
          <w:ilvl w:val="0"/>
          <w:numId w:val="1018"/>
        </w:numPr>
      </w:pPr>
      <w:r>
        <w:t xml:space="preserve">The</w:t>
      </w:r>
      <w:r>
        <w:t xml:space="preserve"> </w:t>
      </w:r>
      <w:r>
        <w:rPr>
          <w:rStyle w:val="Fill-in"/>
        </w:rPr>
        <w:t xml:space="preserve">[System owner]</w:t>
      </w:r>
      <w:r>
        <w:t xml:space="preserve"> </w:t>
      </w:r>
      <w:r>
        <w:t xml:space="preserve">shall ensure each internet-facing mail server of the system offers STARTTLS. (SC-8)</w:t>
      </w:r>
    </w:p>
    <w:p>
      <w:pPr>
        <w:pStyle w:val="Compact"/>
        <w:numPr>
          <w:ilvl w:val="0"/>
          <w:numId w:val="1018"/>
        </w:numPr>
      </w:pPr>
      <w:r>
        <w:t xml:space="preserve">The</w:t>
      </w:r>
      <w:r>
        <w:t xml:space="preserve"> </w:t>
      </w:r>
      <w:r>
        <w:rPr>
          <w:rStyle w:val="Fill-in"/>
        </w:rPr>
        <w:t xml:space="preserve">[System owner]</w:t>
      </w:r>
      <w:r>
        <w:t xml:space="preserve"> </w:t>
      </w:r>
      <w:r>
        <w:t xml:space="preserve">shall ensure SSLv2, SSLv3 and the 3DES and RC4 ciphers are disabled on the system’s mail servers. (SC-8)</w:t>
      </w:r>
    </w:p>
    <w:bookmarkEnd w:id="35"/>
    <w:bookmarkEnd w:id="36"/>
    <w:bookmarkStart w:id="37" w:name="cryptographic-protection-sc-81"/>
    <w:p>
      <w:pPr>
        <w:pStyle w:val="Heading3"/>
      </w:pPr>
      <w:r>
        <w:t xml:space="preserve">Cryptographic protection (SC-8(1))</w:t>
      </w:r>
    </w:p>
    <w:p>
      <w:pPr>
        <w:pStyle w:val="Guidance"/>
      </w:pPr>
      <w:r>
        <w:t xml:space="preserve">In practice: TLS 1.2 or later for web, API and database connections, SSH for administration, IPsec or TLS for virtual private networks, and encryption on internal service-to-service traffic. Cleartext protocols such as Telnet and unencrypted FTP are disabled.</w:t>
      </w:r>
    </w:p>
    <w:p>
      <w:pPr>
        <w:pStyle w:val="Compact"/>
        <w:numPr>
          <w:ilvl w:val="0"/>
          <w:numId w:val="1019"/>
        </w:numPr>
      </w:pPr>
      <w:r>
        <w:t xml:space="preserve">The</w:t>
      </w:r>
      <w:r>
        <w:t xml:space="preserve"> </w:t>
      </w:r>
      <w:r>
        <w:rPr>
          <w:rStyle w:val="Fill-in"/>
        </w:rPr>
        <w:t xml:space="preserve">[System owner]</w:t>
      </w:r>
      <w:r>
        <w:t xml:space="preserve"> </w:t>
      </w:r>
      <w:r>
        <w:t xml:space="preserve">shall implement cryptographic mechanisms to</w:t>
      </w:r>
      <w:r>
        <w:t xml:space="preserve"> </w:t>
      </w:r>
      <w:r>
        <w:rPr>
          <w:rStyle w:val="Fill-in"/>
        </w:rPr>
        <w:t xml:space="preserve">[Select one or more: prevent unauthorized disclosure of information; detect changes to information. Typical: prevent unauthorized disclosure of information and detect changes to information]</w:t>
      </w:r>
      <w:r>
        <w:t xml:space="preserve"> </w:t>
      </w:r>
      <w:r>
        <w:t xml:space="preserve">during transmission. (SC-8(1))</w:t>
      </w:r>
    </w:p>
    <w:bookmarkEnd w:id="37"/>
    <w:bookmarkStart w:id="38" w:name="network-disconnect-sc-10"/>
    <w:p>
      <w:pPr>
        <w:pStyle w:val="Heading3"/>
      </w:pPr>
      <w:r>
        <w:t xml:space="preserve">Network disconnect (SC-10)</w:t>
      </w:r>
    </w:p>
    <w:p>
      <w:pPr>
        <w:pStyle w:val="Guidance"/>
      </w:pPr>
      <w:r>
        <w:t xml:space="preserve">SC-10 ends the network connection; AC-12 ends the user’s session. Keep the two times consistent: the typical value here matches the 30 minutes AC-12 sets for remote and web sessions.</w:t>
      </w:r>
    </w:p>
    <w:p>
      <w:pPr>
        <w:pStyle w:val="Compact"/>
        <w:numPr>
          <w:ilvl w:val="0"/>
          <w:numId w:val="1020"/>
        </w:numPr>
      </w:pPr>
      <w:r>
        <w:t xml:space="preserve">The</w:t>
      </w:r>
      <w:r>
        <w:t xml:space="preserve"> </w:t>
      </w:r>
      <w:r>
        <w:rPr>
          <w:rStyle w:val="Fill-in"/>
        </w:rPr>
        <w:t xml:space="preserve">[System owner]</w:t>
      </w:r>
      <w:r>
        <w:t xml:space="preserve"> </w:t>
      </w:r>
      <w:r>
        <w:t xml:space="preserve">shall ensure the system terminates the network connection associated with a communications session at the end of the session or after</w:t>
      </w:r>
      <w:r>
        <w:t xml:space="preserve"> </w:t>
      </w:r>
      <w:r>
        <w:rPr>
          <w:rStyle w:val="Fill-in"/>
        </w:rPr>
        <w:t xml:space="preserve">[Fill in: a time period of inactivity after which the system terminates a network connection associated with a communication session. Typical: 30 minutes]</w:t>
      </w:r>
      <w:r>
        <w:t xml:space="preserve"> </w:t>
      </w:r>
      <w:r>
        <w:t xml:space="preserve">of inactivity. (SC-10)</w:t>
      </w:r>
    </w:p>
    <w:bookmarkEnd w:id="38"/>
    <w:bookmarkStart w:id="40" w:name="X2b8de20cf98ecb7b6fd679b1bacec144cb5a261"/>
    <w:p>
      <w:pPr>
        <w:pStyle w:val="Heading3"/>
      </w:pPr>
      <w:r>
        <w:t xml:space="preserve">Cryptographic key establishment and management (SC-12)</w:t>
      </w:r>
    </w:p>
    <w:p>
      <w:pPr>
        <w:pStyle w:val="Guidance"/>
      </w:pPr>
      <w:r>
        <w:t xml:space="preserve">Key management is where encryption usually fails: keys stored with the data, or usable by every administrator. NIST SP 800-57 Part 1 is the usual reference for key management requirements. Cloud key management services and hardware security modules handle most of it; the system owner decides who can use and administer each key. The</w:t>
      </w:r>
      <w:r>
        <w:t xml:space="preserve"> </w:t>
      </w:r>
      <w:hyperlink r:id="rId39">
        <w:r>
          <w:rPr>
            <w:rStyle w:val="Hyperlink"/>
          </w:rPr>
          <w:t xml:space="preserve">Encryption and Key Management Standard</w:t>
        </w:r>
      </w:hyperlink>
      <w:r>
        <w:t xml:space="preserve"> </w:t>
      </w:r>
      <w:r>
        <w:t xml:space="preserve">sets the key generation, storage, access, replacement and destruction requirements this clause refers to.</w:t>
      </w:r>
    </w:p>
    <w:p>
      <w:pPr>
        <w:pStyle w:val="Compact"/>
        <w:numPr>
          <w:ilvl w:val="0"/>
          <w:numId w:val="1021"/>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40"/>
    <w:bookmarkStart w:id="41" w:name="availability-sc-121"/>
    <w:p>
      <w:pPr>
        <w:pStyle w:val="Heading3"/>
      </w:pPr>
      <w:r>
        <w:t xml:space="preserve">Availability (SC-12(1))</w:t>
      </w:r>
    </w:p>
    <w:p>
      <w:pPr>
        <w:pStyle w:val="Guidance"/>
      </w:pPr>
      <w:r>
        <w:t xml:space="preserve">SC-12(1) is in the High baseline. Key escrow or recovery keys held by the organization, such as the recovery keys for full-disk encryption, keep information available when a user loses a key.</w:t>
      </w:r>
    </w:p>
    <w:p>
      <w:pPr>
        <w:pStyle w:val="Compact"/>
        <w:numPr>
          <w:ilvl w:val="0"/>
          <w:numId w:val="1022"/>
        </w:numPr>
      </w:pPr>
      <w:r>
        <w:t xml:space="preserve">The</w:t>
      </w:r>
      <w:r>
        <w:t xml:space="preserve"> </w:t>
      </w:r>
      <w:r>
        <w:rPr>
          <w:rStyle w:val="Fill-in"/>
        </w:rPr>
        <w:t xml:space="preserve">[System owner]</w:t>
      </w:r>
      <w:r>
        <w:t xml:space="preserve"> </w:t>
      </w:r>
      <w:r>
        <w:t xml:space="preserve">shall maintain the availability of information when users lose cryptographic keys. (SC-12(1))</w:t>
      </w:r>
    </w:p>
    <w:bookmarkEnd w:id="41"/>
    <w:bookmarkStart w:id="45" w:name="cryptographic-protection-sc-13"/>
    <w:p>
      <w:pPr>
        <w:pStyle w:val="Heading3"/>
      </w:pPr>
      <w:r>
        <w:t xml:space="preserve">Cryptographic protection (SC-13)</w:t>
      </w:r>
    </w:p>
    <w:p>
      <w:pPr>
        <w:pStyle w:val="Guidance"/>
      </w:pPr>
      <w:r>
        <w:t xml:space="preserve">SC-13 does not require cryptography by itself; SC-8, SC-28, IA-5 and AC-17 do. It sets the standard that cryptography must meet wherever those controls call for it. The cryptographic uses match those under configuration management in CM-3(6). The</w:t>
      </w:r>
      <w:r>
        <w:t xml:space="preserve"> </w:t>
      </w:r>
      <w:hyperlink r:id="rId39">
        <w:r>
          <w:rPr>
            <w:rStyle w:val="Hyperlink"/>
          </w:rPr>
          <w:t xml:space="preserve">Encryption and Key Management Standard</w:t>
        </w:r>
      </w:hyperlink>
      <w:r>
        <w:t xml:space="preserve"> </w:t>
      </w:r>
      <w:r>
        <w:t xml:space="preserve">lists the approved algorithms, protocols and modules for each use.</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023"/>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44" w:name="federal-systems-2"/>
    <w:p>
      <w:pPr>
        <w:pStyle w:val="Heading4"/>
      </w:pPr>
      <w:r>
        <w:t xml:space="preserve">Federal systems</w:t>
      </w:r>
    </w:p>
    <w:p>
      <w:pPr>
        <w:pStyle w:val="FirstParagraph"/>
      </w:pPr>
      <w:hyperlink r:id="rId42">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43">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024"/>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024"/>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44"/>
    <w:bookmarkEnd w:id="45"/>
    <w:bookmarkStart w:id="46" w:name="Xe590191d5b1c5956d67609fe9f2e395167b0d2c"/>
    <w:p>
      <w:pPr>
        <w:pStyle w:val="Heading3"/>
      </w:pPr>
      <w:r>
        <w:t xml:space="preserve">Collaborative computing devices and applications (SC-15)</w:t>
      </w:r>
    </w:p>
    <w:p>
      <w:pPr>
        <w:pStyle w:val="Guidance"/>
      </w:pPr>
      <w:r>
        <w:t xml:space="preserve">Collaborative computing devices include cameras, microphones, networked whiteboards and conferencing applications. The point is that nobody can switch on a camera or microphone remotely without the people in the room knowing.</w:t>
      </w:r>
    </w:p>
    <w:p>
      <w:pPr>
        <w:pStyle w:val="Compact"/>
        <w:numPr>
          <w:ilvl w:val="0"/>
          <w:numId w:val="1025"/>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025"/>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46"/>
    <w:bookmarkStart w:id="47" w:name="Xea9a2283071c640dde0dec5a7d581975144b3bd"/>
    <w:p>
      <w:pPr>
        <w:pStyle w:val="Heading3"/>
      </w:pPr>
      <w:r>
        <w:t xml:space="preserve">Public key infrastructure certificates (SC-17)</w:t>
      </w:r>
    </w:p>
    <w:p>
      <w:pPr>
        <w:pStyle w:val="Guidance"/>
      </w:pPr>
      <w:r>
        <w:t xml:space="preserve">Most organizations obtain certificates for public services from a public certificate authority, which counts as an approved service provider, and run an internal certificate authority under their own certificate policy for internal services. Trust stores should hold only the trust anchors the organization approves.</w:t>
      </w:r>
    </w:p>
    <w:p>
      <w:pPr>
        <w:pStyle w:val="Compact"/>
        <w:numPr>
          <w:ilvl w:val="0"/>
          <w:numId w:val="1026"/>
        </w:numPr>
      </w:pPr>
      <w:r>
        <w:t xml:space="preserve">The</w:t>
      </w:r>
      <w:r>
        <w:t xml:space="preserve"> </w:t>
      </w:r>
      <w:r>
        <w:rPr>
          <w:rStyle w:val="Fill-in"/>
        </w:rPr>
        <w:t xml:space="preserve">[Chief Information Security Officer]</w:t>
      </w:r>
      <w:r>
        <w:t xml:space="preserve"> </w:t>
      </w:r>
      <w:r>
        <w:t xml:space="preserve">shall ensure public key certificates are issued under</w:t>
      </w:r>
      <w:r>
        <w:t xml:space="preserve"> </w:t>
      </w:r>
      <w:r>
        <w:rPr>
          <w:rStyle w:val="Fill-in"/>
        </w:rPr>
        <w:t xml:space="preserve">[Fill in: a certificate policy for issuing public key certificates. Typical: the organization’s certificate policy]</w:t>
      </w:r>
      <w:r>
        <w:t xml:space="preserve">, or obtained from an approved service provider. (SC-17a)</w:t>
      </w:r>
    </w:p>
    <w:p>
      <w:pPr>
        <w:pStyle w:val="Compact"/>
        <w:numPr>
          <w:ilvl w:val="0"/>
          <w:numId w:val="1026"/>
        </w:numPr>
      </w:pPr>
      <w:r>
        <w:t xml:space="preserve">The</w:t>
      </w:r>
      <w:r>
        <w:t xml:space="preserve"> </w:t>
      </w:r>
      <w:r>
        <w:rPr>
          <w:rStyle w:val="Fill-in"/>
        </w:rPr>
        <w:t xml:space="preserve">[System owner]</w:t>
      </w:r>
      <w:r>
        <w:t xml:space="preserve"> </w:t>
      </w:r>
      <w:r>
        <w:t xml:space="preserve">shall include only approved trust anchors in trust stores or certificate stores the organization manages. (SC-17b)</w:t>
      </w:r>
    </w:p>
    <w:bookmarkEnd w:id="47"/>
    <w:bookmarkStart w:id="48" w:name="mobile-code-sc-18"/>
    <w:p>
      <w:pPr>
        <w:pStyle w:val="Heading3"/>
      </w:pPr>
      <w:r>
        <w:t xml:space="preserve">Mobile code (SC-18)</w:t>
      </w:r>
    </w:p>
    <w:p>
      <w:pPr>
        <w:pStyle w:val="Guidance"/>
      </w:pPr>
      <w:r>
        <w:t xml:space="preserve">Mobile code is software sent from a remote system and run on a local one, such as JavaScript, macros in office documents and browser plug-ins. Define what is acceptable by technology, for example signed macros only and no browser plug-ins, and enforce it through browser and office application settings.</w:t>
      </w:r>
    </w:p>
    <w:p>
      <w:pPr>
        <w:pStyle w:val="Compact"/>
        <w:numPr>
          <w:ilvl w:val="0"/>
          <w:numId w:val="1027"/>
        </w:numPr>
      </w:pPr>
      <w:r>
        <w:t xml:space="preserve">The</w:t>
      </w:r>
      <w:r>
        <w:t xml:space="preserve"> </w:t>
      </w:r>
      <w:r>
        <w:rPr>
          <w:rStyle w:val="Fill-in"/>
        </w:rPr>
        <w:t xml:space="preserve">[Chief Information Security Officer]</w:t>
      </w:r>
      <w:r>
        <w:t xml:space="preserve"> </w:t>
      </w:r>
      <w:r>
        <w:t xml:space="preserve">shall define acceptable and unacceptable mobile code and mobile code technologies. (SC-18a)</w:t>
      </w:r>
    </w:p>
    <w:p>
      <w:pPr>
        <w:pStyle w:val="Compact"/>
        <w:numPr>
          <w:ilvl w:val="0"/>
          <w:numId w:val="1027"/>
        </w:numPr>
      </w:pPr>
      <w:r>
        <w:t xml:space="preserve">The</w:t>
      </w:r>
      <w:r>
        <w:t xml:space="preserve"> </w:t>
      </w:r>
      <w:r>
        <w:rPr>
          <w:rStyle w:val="Fill-in"/>
        </w:rPr>
        <w:t xml:space="preserve">[System owner]</w:t>
      </w:r>
      <w:r>
        <w:t xml:space="preserve"> </w:t>
      </w:r>
      <w:r>
        <w:t xml:space="preserve">shall authorize, monitor and control the use of mobile code within the system. (SC-18b)</w:t>
      </w:r>
    </w:p>
    <w:bookmarkEnd w:id="48"/>
    <w:bookmarkStart w:id="50" w:name="Xec9f8f0a54c66ad00a08fd17b585f4bee8db425"/>
    <w:p>
      <w:pPr>
        <w:pStyle w:val="Heading3"/>
      </w:pPr>
      <w:r>
        <w:t xml:space="preserve">Secure name and address resolution service (authoritative source) (SC-20)</w:t>
      </w:r>
    </w:p>
    <w:p>
      <w:pPr>
        <w:pStyle w:val="Guidance"/>
      </w:pPr>
      <w:r>
        <w:t xml:space="preserve">In practice this is DNSSEC signing for the zones the organization publishes, often a setting at the managed DNS provider.</w:t>
      </w:r>
      <w:r>
        <w:t xml:space="preserve"> </w:t>
      </w:r>
      <w:hyperlink r:id="rId49">
        <w:r>
          <w:rPr>
            <w:rStyle w:val="Hyperlink"/>
          </w:rPr>
          <w:t xml:space="preserve">NIST SP 800-81 Rev. 3</w:t>
        </w:r>
      </w:hyperlink>
      <w:r>
        <w:t xml:space="preserve">, Secure Domain Name System (DNS) Deployment Guide (March 2026), is the NIST guide to deploying DNS securely, including DNSSEC.</w:t>
      </w:r>
    </w:p>
    <w:p>
      <w:pPr>
        <w:pStyle w:val="Compact"/>
        <w:numPr>
          <w:ilvl w:val="0"/>
          <w:numId w:val="1028"/>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028"/>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50"/>
    <w:bookmarkStart w:id="51" w:name="Xe84076ca1f0e05d26c8a8e450cbb5e99e994738"/>
    <w:p>
      <w:pPr>
        <w:pStyle w:val="Heading3"/>
      </w:pPr>
      <w:r>
        <w:t xml:space="preserve">Secure name and address resolution service (recursive or caching resolver) (SC-21)</w:t>
      </w:r>
    </w:p>
    <w:p>
      <w:pPr>
        <w:pStyle w:val="Guidance"/>
      </w:pPr>
      <w:r>
        <w:t xml:space="preserve">In practice this is DNSSEC validation turned on at the resolvers the system uses, or a DNS service that validates.</w:t>
      </w:r>
    </w:p>
    <w:p>
      <w:pPr>
        <w:pStyle w:val="Compact"/>
        <w:numPr>
          <w:ilvl w:val="0"/>
          <w:numId w:val="1029"/>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51"/>
    <w:bookmarkStart w:id="52" w:name="X8f12cca0f3cf7ed29cfff633cf8e2267823ae23"/>
    <w:p>
      <w:pPr>
        <w:pStyle w:val="Heading3"/>
      </w:pPr>
      <w:r>
        <w:t xml:space="preserve">Architecture and provisioning for name and address resolution service (SC-22)</w:t>
      </w:r>
    </w:p>
    <w:p>
      <w:pPr>
        <w:pStyle w:val="Guidance"/>
      </w:pPr>
      <w:r>
        <w:t xml:space="preserve">Fault tolerance means at least two name servers in different network locations. Role separation means internal and external name servers are separate, so internal names are not published to the internet.</w:t>
      </w:r>
    </w:p>
    <w:p>
      <w:pPr>
        <w:pStyle w:val="Compact"/>
        <w:numPr>
          <w:ilvl w:val="0"/>
          <w:numId w:val="1030"/>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52"/>
    <w:bookmarkStart w:id="53" w:name="session-authenticity-sc-23"/>
    <w:p>
      <w:pPr>
        <w:pStyle w:val="Heading3"/>
      </w:pPr>
      <w:r>
        <w:t xml:space="preserve">Session authenticity (SC-23)</w:t>
      </w:r>
    </w:p>
    <w:p>
      <w:pPr>
        <w:pStyle w:val="Guidance"/>
      </w:pPr>
      <w:r>
        <w:t xml:space="preserve">Session authenticity protects against session hijacking and replay: TLS with certificate validation, session identifiers that are random and expire, and invalidating session identifiers at logout.</w:t>
      </w:r>
    </w:p>
    <w:p>
      <w:pPr>
        <w:pStyle w:val="Compact"/>
        <w:numPr>
          <w:ilvl w:val="0"/>
          <w:numId w:val="1031"/>
        </w:numPr>
      </w:pPr>
      <w:r>
        <w:t xml:space="preserve">The</w:t>
      </w:r>
      <w:r>
        <w:t xml:space="preserve"> </w:t>
      </w:r>
      <w:r>
        <w:rPr>
          <w:rStyle w:val="Fill-in"/>
        </w:rPr>
        <w:t xml:space="preserve">[System owner]</w:t>
      </w:r>
      <w:r>
        <w:t xml:space="preserve"> </w:t>
      </w:r>
      <w:r>
        <w:t xml:space="preserve">shall ensure the system protects the authenticity of communications sessions. (SC-23)</w:t>
      </w:r>
    </w:p>
    <w:bookmarkEnd w:id="53"/>
    <w:bookmarkStart w:id="54" w:name="fail-in-known-state-sc-24"/>
    <w:p>
      <w:pPr>
        <w:pStyle w:val="Heading3"/>
      </w:pPr>
      <w:r>
        <w:t xml:space="preserve">Fail in known state (SC-24)</w:t>
      </w:r>
    </w:p>
    <w:p>
      <w:pPr>
        <w:pStyle w:val="Guidance"/>
      </w:pPr>
      <w:r>
        <w:t xml:space="preserve">SC-24 is in the High baseline.</w:t>
      </w:r>
    </w:p>
    <w:p>
      <w:pPr>
        <w:pStyle w:val="Compact"/>
        <w:numPr>
          <w:ilvl w:val="0"/>
          <w:numId w:val="1032"/>
        </w:numPr>
      </w:pPr>
      <w:r>
        <w:t xml:space="preserve">The</w:t>
      </w:r>
      <w:r>
        <w:t xml:space="preserve"> </w:t>
      </w:r>
      <w:r>
        <w:rPr>
          <w:rStyle w:val="Fill-in"/>
        </w:rPr>
        <w:t xml:space="preserve">[System owner]</w:t>
      </w:r>
      <w:r>
        <w:t xml:space="preserve"> </w:t>
      </w:r>
      <w:r>
        <w:t xml:space="preserve">shall ensure system components fail to</w:t>
      </w:r>
      <w:r>
        <w:t xml:space="preserve"> </w:t>
      </w:r>
      <w:r>
        <w:rPr>
          <w:rStyle w:val="Fill-in"/>
        </w:rPr>
        <w:t xml:space="preserve">[Fill in: known system state to which system components fail in the event of a system failure. Typical: a state that denies access through the affected components]</w:t>
      </w:r>
      <w:r>
        <w:t xml:space="preserve"> </w:t>
      </w:r>
      <w:r>
        <w:t xml:space="preserve">for the following failures:</w:t>
      </w:r>
      <w:r>
        <w:t xml:space="preserve"> </w:t>
      </w:r>
      <w:r>
        <w:rPr>
          <w:rStyle w:val="Fill-in"/>
        </w:rPr>
        <w:t xml:space="preserve">[Fill in: types of system failures for which the system components fail to a known state. Typical: failure of a boundary protection device, an authentication service or a database]</w:t>
      </w:r>
      <w:r>
        <w:t xml:space="preserve">. (SC-24)</w:t>
      </w:r>
    </w:p>
    <w:p>
      <w:pPr>
        <w:pStyle w:val="Compact"/>
        <w:numPr>
          <w:ilvl w:val="0"/>
          <w:numId w:val="1032"/>
        </w:numPr>
      </w:pPr>
      <w:r>
        <w:t xml:space="preserve">The</w:t>
      </w:r>
      <w:r>
        <w:t xml:space="preserve"> </w:t>
      </w:r>
      <w:r>
        <w:rPr>
          <w:rStyle w:val="Fill-in"/>
        </w:rPr>
        <w:t xml:space="preserve">[System owner]</w:t>
      </w:r>
      <w:r>
        <w:t xml:space="preserve"> </w:t>
      </w:r>
      <w:r>
        <w:t xml:space="preserve">shall ensure the system preserves</w:t>
      </w:r>
      <w:r>
        <w:t xml:space="preserve"> </w:t>
      </w:r>
      <w:r>
        <w:rPr>
          <w:rStyle w:val="Fill-in"/>
        </w:rPr>
        <w:t xml:space="preserve">[Fill in: system state information to be preserved in the event of a system failure. Typical: transactions in progress, audit records and configuration settings]</w:t>
      </w:r>
      <w:r>
        <w:t xml:space="preserve"> </w:t>
      </w:r>
      <w:r>
        <w:t xml:space="preserve">when those failures occur. (SC-24)</w:t>
      </w:r>
    </w:p>
    <w:bookmarkEnd w:id="54"/>
    <w:bookmarkStart w:id="55" w:name="protection-of-information-at-rest-sc-28"/>
    <w:p>
      <w:pPr>
        <w:pStyle w:val="Heading3"/>
      </w:pPr>
      <w:r>
        <w:t xml:space="preserve">Protection of information at rest (SC-28)</w:t>
      </w:r>
    </w:p>
    <w:p>
      <w:pPr>
        <w:pStyle w:val="Guidance"/>
      </w:pPr>
      <w:r>
        <w:t xml:space="preserve">Protect stored information on servers, in databases and storage services, in backups and on end-user devices. At Moderate and High, SC-28(1) makes the protection cryptographic.</w:t>
      </w:r>
    </w:p>
    <w:p>
      <w:pPr>
        <w:pStyle w:val="Compact"/>
        <w:numPr>
          <w:ilvl w:val="0"/>
          <w:numId w:val="1033"/>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w:t>
      </w:r>
      <w:r>
        <w:t xml:space="preserve"> </w:t>
      </w:r>
      <w:r>
        <w:rPr>
          <w:rStyle w:val="Fill-in"/>
        </w:rPr>
        <w:t xml:space="preserve">[Fill in: information at rest requiring protection. Typical: all information stored by the system, including backups]</w:t>
      </w:r>
      <w:r>
        <w:t xml:space="preserve">. (SC-28)</w:t>
      </w:r>
    </w:p>
    <w:bookmarkEnd w:id="55"/>
    <w:bookmarkStart w:id="56" w:name="cryptographic-protection-sc-281"/>
    <w:p>
      <w:pPr>
        <w:pStyle w:val="Heading3"/>
      </w:pPr>
      <w:r>
        <w:t xml:space="preserve">Cryptographic protection (SC-28(1))</w:t>
      </w:r>
    </w:p>
    <w:p>
      <w:pPr>
        <w:pStyle w:val="Guidance"/>
      </w:pPr>
      <w:r>
        <w:t xml:space="preserve">Encryption at rest protects against lost devices, stolen media and direct access to storage; it does not protect against someone who can sign in to the application. Keep keys apart from the data they protect.</w:t>
      </w:r>
    </w:p>
    <w:p>
      <w:pPr>
        <w:pStyle w:val="Compact"/>
        <w:numPr>
          <w:ilvl w:val="0"/>
          <w:numId w:val="1034"/>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information requiring cryptographic protection. Typical: all organizational information]</w:t>
      </w:r>
      <w:r>
        <w:t xml:space="preserve"> </w:t>
      </w:r>
      <w:r>
        <w:t xml:space="preserve">at rest on</w:t>
      </w:r>
      <w:r>
        <w:t xml:space="preserve"> </w:t>
      </w:r>
      <w:r>
        <w:rPr>
          <w:rStyle w:val="Fill-in"/>
        </w:rPr>
        <w:t xml:space="preserve">[Fill in: system components or media requiring cryptographic protection. Typical: servers, databases, storage services, backups, end-user devices and removable media]</w:t>
      </w:r>
      <w:r>
        <w:t xml:space="preserve">. (SC-28(1))</w:t>
      </w:r>
    </w:p>
    <w:bookmarkEnd w:id="56"/>
    <w:bookmarkStart w:id="57" w:name="process-isolation-sc-39"/>
    <w:p>
      <w:pPr>
        <w:pStyle w:val="Heading3"/>
      </w:pPr>
      <w:r>
        <w:t xml:space="preserve">Process isolation (SC-39)</w:t>
      </w:r>
    </w:p>
    <w:p>
      <w:pPr>
        <w:pStyle w:val="Guidance"/>
      </w:pPr>
      <w:r>
        <w:t xml:space="preserve">Modern operating systems, hypervisors and container platforms provide separate execution domains; this control is usually inherited. Confirm it for any component that does not, such as some embedded or legacy systems.</w:t>
      </w:r>
    </w:p>
    <w:p>
      <w:pPr>
        <w:pStyle w:val="Compact"/>
        <w:numPr>
          <w:ilvl w:val="0"/>
          <w:numId w:val="1035"/>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57"/>
    <w:bookmarkEnd w:id="58"/>
    <w:bookmarkStart w:id="62" w:name="review-and-update"/>
    <w:p>
      <w:pPr>
        <w:pStyle w:val="Heading2"/>
      </w:pPr>
      <w:r>
        <w:t xml:space="preserve">Review and update</w:t>
      </w:r>
    </w:p>
    <w:p>
      <w:pPr>
        <w:pStyle w:val="Compact"/>
        <w:numPr>
          <w:ilvl w:val="0"/>
          <w:numId w:val="1036"/>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communications protection policy is reviewed and updated. Typical: annually]</w:t>
      </w:r>
      <w:r>
        <w:t xml:space="preserve"> </w:t>
      </w:r>
      <w:r>
        <w:t xml:space="preserve">and following</w:t>
      </w:r>
      <w:r>
        <w:t xml:space="preserve"> </w:t>
      </w:r>
      <w:r>
        <w:rPr>
          <w:rStyle w:val="Fill-in"/>
        </w:rPr>
        <w:t xml:space="preserve">[Fill in: events that would require the current system and communications protection policy to be reviewed and updated. Typical: assessment or audit findings, security incidents or breaches, and changes in applicable laws, executive orders, directives, regulations, policies, standards or guidelines]</w:t>
      </w:r>
      <w:r>
        <w:t xml:space="preserve">. (SC-1c.1)</w:t>
      </w:r>
    </w:p>
    <w:p>
      <w:pPr>
        <w:pStyle w:val="Compact"/>
        <w:numPr>
          <w:ilvl w:val="0"/>
          <w:numId w:val="1036"/>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communications protection procedures are reviewed and updated. Typical: annually]</w:t>
      </w:r>
      <w:r>
        <w:t xml:space="preserve"> </w:t>
      </w:r>
      <w:r>
        <w:t xml:space="preserve">and following</w:t>
      </w:r>
      <w:r>
        <w:t xml:space="preserve"> </w:t>
      </w:r>
      <w:r>
        <w:rPr>
          <w:rStyle w:val="Fill-in"/>
        </w:rPr>
        <w:t xml:space="preserve">[Fill in: events that would require the system and communications protection procedures to be reviewed and updated. Typical: the same events as the policy, and changes to the systems, tools or services the procedures describe]</w:t>
      </w:r>
      <w:r>
        <w:t xml:space="preserve">. (SC-1c.2)</w:t>
      </w:r>
    </w:p>
    <w:bookmarkStart w:id="61"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9">
        <w:r>
          <w:rPr>
            <w:rStyle w:val="Hyperlink"/>
          </w:rPr>
          <w:t xml:space="preserve">44 U.S.C. § 3554</w:t>
        </w:r>
      </w:hyperlink>
      <w:r>
        <w:t xml:space="preserve">, Federal agency responsibilities) and</w:t>
      </w:r>
      <w:r>
        <w:t xml:space="preserve"> </w:t>
      </w:r>
      <w:hyperlink r:id="rId60">
        <w:r>
          <w:rPr>
            <w:rStyle w:val="Hyperlink"/>
          </w:rPr>
          <w:t xml:space="preserve">OMB Circular A-130</w:t>
        </w:r>
      </w:hyperlink>
      <w:r>
        <w:t xml:space="preserve">, Appendix I, Responsibilities for Protecting and Managing Federal Information Resources.</w:t>
      </w:r>
    </w:p>
    <w:p>
      <w:pPr>
        <w:pStyle w:val="Compact"/>
        <w:numPr>
          <w:ilvl w:val="0"/>
          <w:numId w:val="1037"/>
        </w:numPr>
      </w:pPr>
      <w:r>
        <w:t xml:space="preserve">Where the agency’s organization-wide policy sets a value for a parameter in this policy, each system shall use that value or a stricter one. (SC-1a.1(b))</w:t>
      </w:r>
    </w:p>
    <w:bookmarkEnd w:id="61"/>
    <w:bookmarkEnd w:id="62"/>
    <w:bookmarkEnd w:id="6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Communications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43" Target="https://csrc.nist.gov/projects/fips-140-3-transition-effort" TargetMode="External" /><Relationship Type="http://schemas.openxmlformats.org/officeDocument/2006/relationships/hyperlink" Id="rId42" Target="https://csrc.nist.gov/pubs/fips/140-3/final" TargetMode="External" /><Relationship Type="http://schemas.openxmlformats.org/officeDocument/2006/relationships/hyperlink" Id="rId49" Target="https://csrc.nist.gov/pubs/sp/800/81/r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23" Target="https://kston83.github.io/nist-guide/templates/standards/boundary-protection-standard/" TargetMode="External" /><Relationship Type="http://schemas.openxmlformats.org/officeDocument/2006/relationships/hyperlink" Id="rId39" Target="https://kston83.github.io/nist-guide/templates/standards/encryption-and-key-management-standard/" TargetMode="External" /><Relationship Type="http://schemas.openxmlformats.org/officeDocument/2006/relationships/hyperlink" Id="rId59" Target="https://uscode.house.gov/view.xhtml?req=granuleid:USC-prelim-title44-section3554&amp;num=0&amp;edition=prelim" TargetMode="External" /><Relationship Type="http://schemas.openxmlformats.org/officeDocument/2006/relationships/hyperlink" Id="rId34" Target="https://www.cisa.gov/news-events/directives/bod-18-01-enhance-email-and-web-security" TargetMode="External" /><Relationship Type="http://schemas.openxmlformats.org/officeDocument/2006/relationships/hyperlink" Id="rId24" Target="https://www.cisa.gov/resources-tools/programs/trusted-internet-connections-tic" TargetMode="External" /><Relationship Type="http://schemas.openxmlformats.org/officeDocument/2006/relationships/hyperlink" Id="rId6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43" Target="https://csrc.nist.gov/projects/fips-140-3-transition-effort" TargetMode="External" /><Relationship Type="http://schemas.openxmlformats.org/officeDocument/2006/relationships/hyperlink" Id="rId42" Target="https://csrc.nist.gov/pubs/fips/140-3/final" TargetMode="External" /><Relationship Type="http://schemas.openxmlformats.org/officeDocument/2006/relationships/hyperlink" Id="rId49" Target="https://csrc.nist.gov/pubs/sp/800/81/r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23" Target="https://kston83.github.io/nist-guide/templates/standards/boundary-protection-standard/" TargetMode="External" /><Relationship Type="http://schemas.openxmlformats.org/officeDocument/2006/relationships/hyperlink" Id="rId39" Target="https://kston83.github.io/nist-guide/templates/standards/encryption-and-key-management-standard/" TargetMode="External" /><Relationship Type="http://schemas.openxmlformats.org/officeDocument/2006/relationships/hyperlink" Id="rId59" Target="https://uscode.house.gov/view.xhtml?req=granuleid:USC-prelim-title44-section3554&amp;num=0&amp;edition=prelim" TargetMode="External" /><Relationship Type="http://schemas.openxmlformats.org/officeDocument/2006/relationships/hyperlink" Id="rId34" Target="https://www.cisa.gov/news-events/directives/bod-18-01-enhance-email-and-web-security" TargetMode="External" /><Relationship Type="http://schemas.openxmlformats.org/officeDocument/2006/relationships/hyperlink" Id="rId24" Target="https://www.cisa.gov/resources-tools/programs/trusted-internet-connections-tic" TargetMode="External" /><Relationship Type="http://schemas.openxmlformats.org/officeDocument/2006/relationships/hyperlink" Id="rId6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