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0"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55" w:name="policy-statements"/>
    <w:p>
      <w:pPr>
        <w:pStyle w:val="Heading2"/>
      </w:pPr>
      <w:r>
        <w:t xml:space="preserve">Policy statements</w:t>
      </w:r>
    </w:p>
    <w:bookmarkStart w:id="19" w:name="Xe6b6cf868521971e556ffc96448944869c425f3"/>
    <w:p>
      <w:pPr>
        <w:pStyle w:val="Heading3"/>
      </w:pPr>
      <w:r>
        <w:t xml:space="preserve">Separation of system and user functionality (SC-2)</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19"/>
    <w:bookmarkStart w:id="20" w:name="security-function-isolation-sc-3"/>
    <w:p>
      <w:pPr>
        <w:pStyle w:val="Heading3"/>
      </w:pPr>
      <w:r>
        <w:t xml:space="preserve">Security function isolation (SC-3)</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system isolates security functions from nonsecurity functions. (SC-3)</w:t>
      </w:r>
    </w:p>
    <w:bookmarkEnd w:id="20"/>
    <w:bookmarkStart w:id="21" w:name="Xf7b035ce55723c38c212f1cfddb66a3b4904ab8"/>
    <w:p>
      <w:pPr>
        <w:pStyle w:val="Heading3"/>
      </w:pPr>
      <w:r>
        <w:t xml:space="preserve">Information in shared system resources (SC-4)</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21"/>
    <w:bookmarkStart w:id="22" w:name="denial-of-service-protection-sc-5"/>
    <w:p>
      <w:pPr>
        <w:pStyle w:val="Heading3"/>
      </w:pPr>
      <w:r>
        <w:t xml:space="preserve">Denial-of-service protection (SC-5)</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22"/>
    <w:bookmarkStart w:id="25" w:name="boundary-protection-sc-7"/>
    <w:p>
      <w:pPr>
        <w:pStyle w:val="Heading3"/>
      </w:pPr>
      <w:r>
        <w:t xml:space="preserve">Boundary protection (SC-7)</w:t>
      </w:r>
    </w:p>
    <w:p>
      <w:pPr>
        <w:pStyle w:val="Compact"/>
        <w:numPr>
          <w:ilvl w:val="0"/>
          <w:numId w:val="1008"/>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8"/>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4"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3">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4"/>
    <w:bookmarkEnd w:id="25"/>
    <w:bookmarkStart w:id="26" w:name="access-points-sc-73"/>
    <w:p>
      <w:pPr>
        <w:pStyle w:val="Heading3"/>
      </w:pPr>
      <w:r>
        <w:t xml:space="preserve">Access points (SC-7(3))</w:t>
      </w:r>
    </w:p>
    <w:p>
      <w:pPr>
        <w:pStyle w:val="Compact"/>
        <w:numPr>
          <w:ilvl w:val="0"/>
          <w:numId w:val="1010"/>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26"/>
    <w:bookmarkStart w:id="27" w:name="X91c47195151bce19937285e13f3f2027405eb2a"/>
    <w:p>
      <w:pPr>
        <w:pStyle w:val="Heading3"/>
      </w:pPr>
      <w:r>
        <w:t xml:space="preserve">External telecommunications services (SC-7(4))</w:t>
      </w:r>
    </w:p>
    <w:p>
      <w:pPr>
        <w:pStyle w:val="Compact"/>
        <w:numPr>
          <w:ilvl w:val="0"/>
          <w:numId w:val="1011"/>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011"/>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011"/>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011"/>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011"/>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011"/>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011"/>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27"/>
    <w:bookmarkStart w:id="28" w:name="deny-by-default-allow-by-exception-sc-75"/>
    <w:p>
      <w:pPr>
        <w:pStyle w:val="Heading3"/>
      </w:pPr>
      <w:r>
        <w:t xml:space="preserve">Deny by default, allow by exception (SC-7(5))</w:t>
      </w:r>
    </w:p>
    <w:p>
      <w:pPr>
        <w:pStyle w:val="Compact"/>
        <w:numPr>
          <w:ilvl w:val="0"/>
          <w:numId w:val="1012"/>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28"/>
    <w:bookmarkStart w:id="29" w:name="split-tunneling-for-remote-devices-sc-77"/>
    <w:p>
      <w:pPr>
        <w:pStyle w:val="Heading3"/>
      </w:pPr>
      <w:r>
        <w:t xml:space="preserve">Split tunneling for remote devices (SC-7(7))</w:t>
      </w:r>
    </w:p>
    <w:p>
      <w:pPr>
        <w:pStyle w:val="Compact"/>
        <w:numPr>
          <w:ilvl w:val="0"/>
          <w:numId w:val="1013"/>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29"/>
    <w:bookmarkStart w:id="30" w:name="X7e071c2e1f7e4c113185cf26608b6e9a0540afd"/>
    <w:p>
      <w:pPr>
        <w:pStyle w:val="Heading3"/>
      </w:pPr>
      <w:r>
        <w:t xml:space="preserve">Route traffic to authenticated proxy servers (SC-7(8))</w:t>
      </w:r>
    </w:p>
    <w:p>
      <w:pPr>
        <w:pStyle w:val="Compact"/>
        <w:numPr>
          <w:ilvl w:val="0"/>
          <w:numId w:val="1014"/>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30"/>
    <w:bookmarkStart w:id="31" w:name="fail-secure-sc-718"/>
    <w:p>
      <w:pPr>
        <w:pStyle w:val="Heading3"/>
      </w:pPr>
      <w:r>
        <w:t xml:space="preserve">Fail secure (SC-7(18))</w:t>
      </w:r>
    </w:p>
    <w:p>
      <w:pPr>
        <w:pStyle w:val="Compact"/>
        <w:numPr>
          <w:ilvl w:val="0"/>
          <w:numId w:val="1015"/>
        </w:numPr>
      </w:pPr>
      <w:r>
        <w:t xml:space="preserve">The</w:t>
      </w:r>
      <w:r>
        <w:t xml:space="preserve"> </w:t>
      </w:r>
      <w:r>
        <w:rPr>
          <w:rStyle w:val="Fill-in"/>
        </w:rPr>
        <w:t xml:space="preserve">[System owner]</w:t>
      </w:r>
      <w:r>
        <w:t xml:space="preserve"> </w:t>
      </w:r>
      <w:r>
        <w:t xml:space="preserve">shall prevent the system from entering an unsecure state when a boundary protection device fails. (SC-7(18))</w:t>
      </w:r>
    </w:p>
    <w:bookmarkEnd w:id="31"/>
    <w:bookmarkStart w:id="32" w:name="isolation-of-system-components-sc-721"/>
    <w:p>
      <w:pPr>
        <w:pStyle w:val="Heading3"/>
      </w:pPr>
      <w:r>
        <w:t xml:space="preserve">Isolation of system components (SC-7(21))</w:t>
      </w:r>
    </w:p>
    <w:p>
      <w:pPr>
        <w:pStyle w:val="Compact"/>
        <w:numPr>
          <w:ilvl w:val="0"/>
          <w:numId w:val="1016"/>
        </w:numPr>
      </w:pPr>
      <w:r>
        <w:t xml:space="preserve">The</w:t>
      </w:r>
      <w:r>
        <w:t xml:space="preserve"> </w:t>
      </w:r>
      <w:r>
        <w:rPr>
          <w:rStyle w:val="Fill-in"/>
        </w:rPr>
        <w:t xml:space="preserve">[System owner]</w:t>
      </w:r>
      <w:r>
        <w:t xml:space="preserve"> </w:t>
      </w:r>
      <w:r>
        <w:t xml:space="preserve">shall employ boundary protection mechanisms to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bookmarkEnd w:id="32"/>
    <w:bookmarkStart w:id="35" w:name="X589078ccb071e47f3b398a9312a5d2b07e43442"/>
    <w:p>
      <w:pPr>
        <w:pStyle w:val="Heading3"/>
      </w:pPr>
      <w:r>
        <w:t xml:space="preserve">Transmission confidentiality and integrity (SC-8)</w:t>
      </w:r>
    </w:p>
    <w:p>
      <w:pPr>
        <w:pStyle w:val="Compact"/>
        <w:numPr>
          <w:ilvl w:val="0"/>
          <w:numId w:val="1017"/>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34" w:name="federal-systems-1"/>
    <w:p>
      <w:pPr>
        <w:pStyle w:val="Heading4"/>
      </w:pPr>
      <w:r>
        <w:t xml:space="preserve">Federal systems</w:t>
      </w:r>
    </w:p>
    <w:p>
      <w:pPr>
        <w:pStyle w:val="FirstParagraph"/>
      </w:pPr>
      <w:r>
        <w:t xml:space="preserve">CISA</w:t>
      </w:r>
      <w:r>
        <w:t xml:space="preserve"> </w:t>
      </w:r>
      <w:hyperlink r:id="rId33">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018"/>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018"/>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34"/>
    <w:bookmarkEnd w:id="35"/>
    <w:bookmarkStart w:id="36" w:name="cryptographic-protection-sc-81"/>
    <w:p>
      <w:pPr>
        <w:pStyle w:val="Heading3"/>
      </w:pPr>
      <w:r>
        <w:t xml:space="preserve">Cryptographic protection (SC-8(1))</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36"/>
    <w:bookmarkStart w:id="37" w:name="network-disconnect-sc-10"/>
    <w:p>
      <w:pPr>
        <w:pStyle w:val="Heading3"/>
      </w:pPr>
      <w:r>
        <w:t xml:space="preserve">Network disconnect (SC-10)</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37"/>
    <w:bookmarkStart w:id="38" w:name="X2b8de20cf98ecb7b6fd679b1bacec144cb5a261"/>
    <w:p>
      <w:pPr>
        <w:pStyle w:val="Heading3"/>
      </w:pPr>
      <w:r>
        <w:t xml:space="preserve">Cryptographic key establishment and management (SC-12)</w:t>
      </w:r>
    </w:p>
    <w:p>
      <w:pPr>
        <w:pStyle w:val="Compact"/>
        <w:numPr>
          <w:ilvl w:val="0"/>
          <w:numId w:val="1021"/>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38"/>
    <w:bookmarkStart w:id="39" w:name="availability-sc-121"/>
    <w:p>
      <w:pPr>
        <w:pStyle w:val="Heading3"/>
      </w:pPr>
      <w:r>
        <w:t xml:space="preserve">Availability (SC-12(1))</w:t>
      </w:r>
    </w:p>
    <w:p>
      <w:pPr>
        <w:pStyle w:val="Compact"/>
        <w:numPr>
          <w:ilvl w:val="0"/>
          <w:numId w:val="1022"/>
        </w:numPr>
      </w:pPr>
      <w:r>
        <w:t xml:space="preserve">The</w:t>
      </w:r>
      <w:r>
        <w:t xml:space="preserve"> </w:t>
      </w:r>
      <w:r>
        <w:rPr>
          <w:rStyle w:val="Fill-in"/>
        </w:rPr>
        <w:t xml:space="preserve">[System owner]</w:t>
      </w:r>
      <w:r>
        <w:t xml:space="preserve"> </w:t>
      </w:r>
      <w:r>
        <w:t xml:space="preserve">shall maintain the availability of information when users lose cryptographic keys. (SC-12(1))</w:t>
      </w:r>
    </w:p>
    <w:bookmarkEnd w:id="39"/>
    <w:bookmarkStart w:id="43" w:name="cryptographic-protection-sc-13"/>
    <w:p>
      <w:pPr>
        <w:pStyle w:val="Heading3"/>
      </w:pPr>
      <w:r>
        <w:t xml:space="preserve">Cryptographic protection (SC-13)</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2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2" w:name="federal-systems-2"/>
    <w:p>
      <w:pPr>
        <w:pStyle w:val="Heading4"/>
      </w:pPr>
      <w:r>
        <w:t xml:space="preserve">Federal systems</w:t>
      </w:r>
    </w:p>
    <w:p>
      <w:pPr>
        <w:pStyle w:val="FirstParagraph"/>
      </w:pPr>
      <w:hyperlink r:id="rId40">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41">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2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2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2"/>
    <w:bookmarkEnd w:id="43"/>
    <w:bookmarkStart w:id="44" w:name="Xe590191d5b1c5956d67609fe9f2e395167b0d2c"/>
    <w:p>
      <w:pPr>
        <w:pStyle w:val="Heading3"/>
      </w:pPr>
      <w:r>
        <w:t xml:space="preserve">Collaborative computing devices and applications (SC-15)</w:t>
      </w:r>
    </w:p>
    <w:p>
      <w:pPr>
        <w:pStyle w:val="Compact"/>
        <w:numPr>
          <w:ilvl w:val="0"/>
          <w:numId w:val="102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2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4"/>
    <w:bookmarkStart w:id="45" w:name="Xea9a2283071c640dde0dec5a7d581975144b3bd"/>
    <w:p>
      <w:pPr>
        <w:pStyle w:val="Heading3"/>
      </w:pPr>
      <w:r>
        <w:t xml:space="preserve">Public key infrastructure certificates (SC-17)</w:t>
      </w:r>
    </w:p>
    <w:p>
      <w:pPr>
        <w:pStyle w:val="Compact"/>
        <w:numPr>
          <w:ilvl w:val="0"/>
          <w:numId w:val="102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02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5"/>
    <w:bookmarkStart w:id="46" w:name="mobile-code-sc-18"/>
    <w:p>
      <w:pPr>
        <w:pStyle w:val="Heading3"/>
      </w:pPr>
      <w:r>
        <w:t xml:space="preserve">Mobile code (SC-18)</w:t>
      </w:r>
    </w:p>
    <w:p>
      <w:pPr>
        <w:pStyle w:val="Compact"/>
        <w:numPr>
          <w:ilvl w:val="0"/>
          <w:numId w:val="102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02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6"/>
    <w:bookmarkStart w:id="47" w:name="Xec9f8f0a54c66ad00a08fd17b585f4bee8db425"/>
    <w:p>
      <w:pPr>
        <w:pStyle w:val="Heading3"/>
      </w:pPr>
      <w:r>
        <w:t xml:space="preserve">Secure name and address resolution service (authoritative source) (SC-20)</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2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7"/>
    <w:bookmarkStart w:id="48" w:name="Xe84076ca1f0e05d26c8a8e450cbb5e99e994738"/>
    <w:p>
      <w:pPr>
        <w:pStyle w:val="Heading3"/>
      </w:pPr>
      <w:r>
        <w:t xml:space="preserve">Secure name and address resolution service (recursive or caching resolver) (SC-21)</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8"/>
    <w:bookmarkStart w:id="49" w:name="X8f12cca0f3cf7ed29cfff633cf8e2267823ae23"/>
    <w:p>
      <w:pPr>
        <w:pStyle w:val="Heading3"/>
      </w:pPr>
      <w:r>
        <w:t xml:space="preserve">Architecture and provisioning for name and address resolution service (SC-22)</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9"/>
    <w:bookmarkStart w:id="50" w:name="session-authenticity-sc-23"/>
    <w:p>
      <w:pPr>
        <w:pStyle w:val="Heading3"/>
      </w:pPr>
      <w:r>
        <w:t xml:space="preserve">Session authenticity (SC-23)</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50"/>
    <w:bookmarkStart w:id="51" w:name="fail-in-known-state-sc-24"/>
    <w:p>
      <w:pPr>
        <w:pStyle w:val="Heading3"/>
      </w:pPr>
      <w:r>
        <w:t xml:space="preserve">Fail in known state (SC-24)</w:t>
      </w:r>
    </w:p>
    <w:p>
      <w:pPr>
        <w:pStyle w:val="Compact"/>
        <w:numPr>
          <w:ilvl w:val="0"/>
          <w:numId w:val="1032"/>
        </w:numPr>
      </w:pPr>
      <w:r>
        <w:t xml:space="preserve">The</w:t>
      </w:r>
      <w:r>
        <w:t xml:space="preserve"> </w:t>
      </w:r>
      <w:r>
        <w:rPr>
          <w:rStyle w:val="Fill-in"/>
        </w:rPr>
        <w:t xml:space="preserve">[System owner]</w:t>
      </w:r>
      <w:r>
        <w:t xml:space="preserve"> </w:t>
      </w:r>
      <w:r>
        <w:t xml:space="preserve">shall ensure system components fail to</w:t>
      </w:r>
      <w:r>
        <w:t xml:space="preserve"> </w:t>
      </w:r>
      <w:r>
        <w:rPr>
          <w:rStyle w:val="Fill-in"/>
        </w:rPr>
        <w:t xml:space="preserve">[Fill in: known system state to which system components fail in the event of a system failure. Typical: a state that denies access through the affected components]</w:t>
      </w:r>
      <w:r>
        <w:t xml:space="preserve"> </w:t>
      </w:r>
      <w:r>
        <w:t xml:space="preserve">for the following failures:</w:t>
      </w:r>
      <w:r>
        <w:t xml:space="preserve"> </w:t>
      </w:r>
      <w:r>
        <w:rPr>
          <w:rStyle w:val="Fill-in"/>
        </w:rPr>
        <w:t xml:space="preserve">[Fill in: types of system failures for which the system components fail to a known state. Typical: failure of a boundary protection device, an authentication service or a database]</w:t>
      </w:r>
      <w:r>
        <w:t xml:space="preserve">. (SC-24)</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preserves</w:t>
      </w:r>
      <w:r>
        <w:t xml:space="preserve"> </w:t>
      </w:r>
      <w:r>
        <w:rPr>
          <w:rStyle w:val="Fill-in"/>
        </w:rPr>
        <w:t xml:space="preserve">[Fill in: system state information to be preserved in the event of a system failure. Typical: transactions in progress, audit records and configuration settings]</w:t>
      </w:r>
      <w:r>
        <w:t xml:space="preserve"> </w:t>
      </w:r>
      <w:r>
        <w:t xml:space="preserve">when those failures occur. (SC-24)</w:t>
      </w:r>
    </w:p>
    <w:bookmarkEnd w:id="51"/>
    <w:bookmarkStart w:id="52" w:name="protection-of-information-at-rest-sc-28"/>
    <w:p>
      <w:pPr>
        <w:pStyle w:val="Heading3"/>
      </w:pPr>
      <w:r>
        <w:t xml:space="preserve">Protection of information at rest (SC-28)</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52"/>
    <w:bookmarkStart w:id="53" w:name="cryptographic-protection-sc-281"/>
    <w:p>
      <w:pPr>
        <w:pStyle w:val="Heading3"/>
      </w:pPr>
      <w:r>
        <w:t xml:space="preserve">Cryptographic protection (SC-28(1))</w:t>
      </w:r>
    </w:p>
    <w:p>
      <w:pPr>
        <w:pStyle w:val="Compact"/>
        <w:numPr>
          <w:ilvl w:val="0"/>
          <w:numId w:val="103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53"/>
    <w:bookmarkStart w:id="54" w:name="process-isolation-sc-39"/>
    <w:p>
      <w:pPr>
        <w:pStyle w:val="Heading3"/>
      </w:pPr>
      <w:r>
        <w:t xml:space="preserve">Process isolation (SC-39)</w:t>
      </w:r>
    </w:p>
    <w:p>
      <w:pPr>
        <w:pStyle w:val="Compact"/>
        <w:numPr>
          <w:ilvl w:val="0"/>
          <w:numId w:val="1035"/>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54"/>
    <w:bookmarkEnd w:id="55"/>
    <w:bookmarkStart w:id="59" w:name="review-and-update"/>
    <w:p>
      <w:pPr>
        <w:pStyle w:val="Heading2"/>
      </w:pPr>
      <w:r>
        <w:t xml:space="preserve">Review and update</w:t>
      </w:r>
    </w:p>
    <w:p>
      <w:pPr>
        <w:pStyle w:val="Compact"/>
        <w:numPr>
          <w:ilvl w:val="0"/>
          <w:numId w:val="1036"/>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36"/>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58"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6">
        <w:r>
          <w:rPr>
            <w:rStyle w:val="Hyperlink"/>
          </w:rPr>
          <w:t xml:space="preserve">44 U.S.C. § 3554</w:t>
        </w:r>
      </w:hyperlink>
      <w:r>
        <w:t xml:space="preserve">, Federal agency responsibilities) and</w:t>
      </w:r>
      <w:r>
        <w:t xml:space="preserve"> </w:t>
      </w:r>
      <w:hyperlink r:id="rId57">
        <w:r>
          <w:rPr>
            <w:rStyle w:val="Hyperlink"/>
          </w:rPr>
          <w:t xml:space="preserve">OMB Circular A-130</w:t>
        </w:r>
      </w:hyperlink>
      <w:r>
        <w:t xml:space="preserve">, Appendix I, Responsibilities for Protecting and Managing Federal Information Resources.</w:t>
      </w:r>
    </w:p>
    <w:p>
      <w:pPr>
        <w:pStyle w:val="Compact"/>
        <w:numPr>
          <w:ilvl w:val="0"/>
          <w:numId w:val="1037"/>
        </w:numPr>
      </w:pPr>
      <w:r>
        <w:t xml:space="preserve">Where the agency’s organization-wide policy sets a value for a parameter in this policy, each system shall use that value or a stricter one. (SC-1a.1(b))</w:t>
      </w:r>
    </w:p>
    <w:bookmarkEnd w:id="58"/>
    <w:bookmarkEnd w:id="59"/>
    <w:bookmarkEnd w:id="6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1" Target="https://csrc.nist.gov/projects/fips-140-3-transition-effort" TargetMode="External" /><Relationship Type="http://schemas.openxmlformats.org/officeDocument/2006/relationships/hyperlink" Id="rId40"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56" Target="https://uscode.house.gov/view.xhtml?req=granuleid:USC-prelim-title44-section3554&amp;num=0&amp;edition=prelim" TargetMode="External" /><Relationship Type="http://schemas.openxmlformats.org/officeDocument/2006/relationships/hyperlink" Id="rId33" Target="https://www.cisa.gov/news-events/directives/bod-18-01-enhance-email-and-web-security" TargetMode="External" /><Relationship Type="http://schemas.openxmlformats.org/officeDocument/2006/relationships/hyperlink" Id="rId23" Target="https://www.cisa.gov/resources-tools/programs/trusted-internet-connections-tic" TargetMode="External" /><Relationship Type="http://schemas.openxmlformats.org/officeDocument/2006/relationships/hyperlink" Id="rId5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1" Target="https://csrc.nist.gov/projects/fips-140-3-transition-effort" TargetMode="External" /><Relationship Type="http://schemas.openxmlformats.org/officeDocument/2006/relationships/hyperlink" Id="rId40"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56" Target="https://uscode.house.gov/view.xhtml?req=granuleid:USC-prelim-title44-section3554&amp;num=0&amp;edition=prelim" TargetMode="External" /><Relationship Type="http://schemas.openxmlformats.org/officeDocument/2006/relationships/hyperlink" Id="rId33" Target="https://www.cisa.gov/news-events/directives/bod-18-01-enhance-email-and-web-security" TargetMode="External" /><Relationship Type="http://schemas.openxmlformats.org/officeDocument/2006/relationships/hyperlink" Id="rId23" Target="https://www.cisa.gov/resources-tools/programs/trusted-internet-connections-tic" TargetMode="External" /><Relationship Type="http://schemas.openxmlformats.org/officeDocument/2006/relationships/hyperlink" Id="rId5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