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X5ffdabf1df3a1fedc369807b5cf667e45086be7"/>
    <w:p>
      <w:pPr>
        <w:pStyle w:val="Heading1"/>
      </w:pPr>
      <w:r>
        <w:t xml:space="preserve">System and Communications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https://kston83.github.io/nist-guide/templates/policies/sc/</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Communications Protection, and who is accountable for meeting those requirements. (SC-1a.1(a))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(SC-1a.1(a))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(SC-1a.1(a))</w:t>
      </w:r>
    </w:p>
    <w:p>
      <w:pPr>
        <w:pStyle w:val="Compact"/>
        <w:numPr>
          <w:ilvl w:val="0"/>
          <w:numId w:val="1001"/>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manage the development, documentation and dissemination of this policy and its procedures. (SC-1b)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(SC-1a.1(a))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(SC-1a.1(a))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(SC-1a.1(a))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(SC-1a.1(a))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(SC-1a.1(b))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(SC-1a.1(a))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(SC-1a.1(a))</w:t>
      </w:r>
    </w:p>
    <w:p>
      <w:pPr>
        <w:pStyle w:val="Compact"/>
        <w:numPr>
          <w:ilvl w:val="0"/>
          <w:numId w:val="1002"/>
        </w:numPr>
      </w:pPr>
      <w:r>
        <w:t xml:space="preserve">Violations of this policy shall be handled through the organization’s sanctions process. (SC-1a.1(a))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ensure that documented procedures exist to implement this policy and its associated controls. (SC-1a.2)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communications protection policy is to be disseminated. Typical: everyone within its scope, through the policy library]</w:t>
      </w:r>
      <w:r>
        <w:t xml:space="preserve">. (SC-1a)</w:t>
      </w:r>
    </w:p>
    <w:p>
      <w:pPr>
        <w:pStyle w:val="Compact"/>
        <w:numPr>
          <w:ilvl w:val="0"/>
          <w:numId w:val="1003"/>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communications protection procedures are to be disseminated. Typical: the people who carry them out, and the system owners]</w:t>
      </w:r>
      <w:r>
        <w:t xml:space="preserve">. (SC-1a)</w:t>
      </w:r>
    </w:p>
    <w:bookmarkEnd w:id="18"/>
    <w:bookmarkStart w:id="33" w:name="policy-statements"/>
    <w:p>
      <w:pPr>
        <w:pStyle w:val="Heading2"/>
      </w:pPr>
      <w:r>
        <w:t xml:space="preserve">Policy statements</w:t>
      </w:r>
    </w:p>
    <w:bookmarkStart w:id="19" w:name="denial-of-service-protection-sc-5"/>
    <w:p>
      <w:pPr>
        <w:pStyle w:val="Heading3"/>
      </w:pPr>
      <w:r>
        <w:t xml:space="preserve">Denial-of-service protection (SC-5)</w:t>
      </w:r>
    </w:p>
    <w:p>
      <w:pPr>
        <w:pStyle w:val="Compact"/>
        <w:numPr>
          <w:ilvl w:val="0"/>
          <w:numId w:val="1004"/>
        </w:numPr>
      </w:pPr>
      <w:r>
        <w:t xml:space="preserve">The</w:t>
      </w:r>
      <w:r>
        <w:t xml:space="preserve"> </w:t>
      </w:r>
      <w:r>
        <w:rPr>
          <w:rStyle w:val="Fill-in"/>
        </w:rPr>
        <w:t xml:space="preserve">[System owner]</w:t>
      </w:r>
      <w:r>
        <w:t xml:space="preserve"> </w:t>
      </w:r>
      <w:r>
        <w:t xml:space="preserve">shall ensure the system can</w:t>
      </w:r>
      <w:r>
        <w:t xml:space="preserve"> </w:t>
      </w:r>
      <w:r>
        <w:rPr>
          <w:rStyle w:val="Fill-in"/>
        </w:rPr>
        <w:t xml:space="preserve">[Select one: protect against; limit. Typical: protect against]</w:t>
      </w:r>
      <w:r>
        <w:t xml:space="preserve"> </w:t>
      </w:r>
      <w:r>
        <w:t xml:space="preserve">the effects of the following types of denial-of-service events:</w:t>
      </w:r>
      <w:r>
        <w:t xml:space="preserve"> </w:t>
      </w:r>
      <w:r>
        <w:rPr>
          <w:rStyle w:val="Fill-in"/>
        </w:rPr>
        <w:t xml:space="preserve">[Fill in: types of denial-of-service events to be protected against or limited. Typical: network floods, protocol attacks and application-layer floods against internet-facing services]</w:t>
      </w:r>
      <w:r>
        <w:t xml:space="preserve">. (SC-5a)</w:t>
      </w:r>
    </w:p>
    <w:p>
      <w:pPr>
        <w:pStyle w:val="Compact"/>
        <w:numPr>
          <w:ilvl w:val="0"/>
          <w:numId w:val="1004"/>
        </w:numPr>
      </w:pPr>
      <w:r>
        <w:t xml:space="preserve">The</w:t>
      </w:r>
      <w:r>
        <w:t xml:space="preserve"> </w:t>
      </w:r>
      <w:r>
        <w:rPr>
          <w:rStyle w:val="Fill-in"/>
        </w:rPr>
        <w:t xml:space="preserve">[System owner]</w:t>
      </w:r>
      <w:r>
        <w:t xml:space="preserve"> </w:t>
      </w:r>
      <w:r>
        <w:t xml:space="preserve">shall employ the following controls to achieve the denial-of-service objective:</w:t>
      </w:r>
      <w:r>
        <w:t xml:space="preserve"> </w:t>
      </w:r>
      <w:r>
        <w:rPr>
          <w:rStyle w:val="Fill-in"/>
        </w:rPr>
        <w:t xml:space="preserve">[Fill in: controls to achieve the denial-of-service objective by type of denial-of-service event. Typical: an upstream or cloud denial-of-service protection service for internet-facing services, rate limiting at load balancers and application gateways, and capacity that scales automatically]</w:t>
      </w:r>
      <w:r>
        <w:t xml:space="preserve">. (SC-5b)</w:t>
      </w:r>
    </w:p>
    <w:bookmarkEnd w:id="19"/>
    <w:bookmarkStart w:id="22" w:name="boundary-protection-sc-7"/>
    <w:p>
      <w:pPr>
        <w:pStyle w:val="Heading3"/>
      </w:pPr>
      <w:r>
        <w:t xml:space="preserve">Boundary protection (SC-7)</w:t>
      </w:r>
    </w:p>
    <w:p>
      <w:pPr>
        <w:pStyle w:val="Compact"/>
        <w:numPr>
          <w:ilvl w:val="0"/>
          <w:numId w:val="1005"/>
        </w:numPr>
      </w:pPr>
      <w:r>
        <w:t xml:space="preserve">The</w:t>
      </w:r>
      <w:r>
        <w:t xml:space="preserve"> </w:t>
      </w:r>
      <w:r>
        <w:rPr>
          <w:rStyle w:val="Fill-in"/>
        </w:rPr>
        <w:t xml:space="preserve">[System owner]</w:t>
      </w:r>
      <w:r>
        <w:t xml:space="preserve"> </w:t>
      </w:r>
      <w:r>
        <w:t xml:space="preserve">shall monitor and control communications at the external managed interfaces to the system and at key internal managed interfaces within the system. (SC-7a)</w:t>
      </w:r>
    </w:p>
    <w:p>
      <w:pPr>
        <w:pStyle w:val="Compact"/>
        <w:numPr>
          <w:ilvl w:val="0"/>
          <w:numId w:val="1005"/>
        </w:numPr>
      </w:pPr>
      <w:r>
        <w:t xml:space="preserve">The</w:t>
      </w:r>
      <w:r>
        <w:t xml:space="preserve"> </w:t>
      </w:r>
      <w:r>
        <w:rPr>
          <w:rStyle w:val="Fill-in"/>
        </w:rPr>
        <w:t xml:space="preserve">[System owner]</w:t>
      </w:r>
      <w:r>
        <w:t xml:space="preserve"> </w:t>
      </w:r>
      <w:r>
        <w:t xml:space="preserve">shall implement subnetworks for publicly accessible system components that are</w:t>
      </w:r>
      <w:r>
        <w:t xml:space="preserve"> </w:t>
      </w:r>
      <w:r>
        <w:rPr>
          <w:rStyle w:val="Fill-in"/>
        </w:rPr>
        <w:t xml:space="preserve">[Select one: physically; logically. Typical: logically]</w:t>
      </w:r>
      <w:r>
        <w:t xml:space="preserve"> </w:t>
      </w:r>
      <w:r>
        <w:t xml:space="preserve">separated from internal organizational networks. (SC-7b)</w:t>
      </w:r>
    </w:p>
    <w:p>
      <w:pPr>
        <w:pStyle w:val="Compact"/>
        <w:numPr>
          <w:ilvl w:val="0"/>
          <w:numId w:val="1005"/>
        </w:numPr>
      </w:pPr>
      <w:r>
        <w:t xml:space="preserve">The</w:t>
      </w:r>
      <w:r>
        <w:t xml:space="preserve"> </w:t>
      </w:r>
      <w:r>
        <w:rPr>
          <w:rStyle w:val="Fill-in"/>
        </w:rPr>
        <w:t xml:space="preserve">[System owner]</w:t>
      </w:r>
      <w:r>
        <w:t xml:space="preserve"> </w:t>
      </w:r>
      <w:r>
        <w:t xml:space="preserve">shall connect the system to external networks or systems only through managed interfaces consisting of boundary protection devices arranged in accordance with the organization’s security and privacy architecture. (SC-7c)</w:t>
      </w:r>
    </w:p>
    <w:bookmarkStart w:id="21" w:name="federal-systems"/>
    <w:p>
      <w:pPr>
        <w:pStyle w:val="Heading4"/>
      </w:pPr>
      <w:r>
        <w:t xml:space="preserve">Federal systems</w:t>
      </w:r>
    </w:p>
    <w:p>
      <w:pPr>
        <w:pStyle w:val="FirstParagraph"/>
      </w:pPr>
      <w:r>
        <w:t xml:space="preserve">Federal civilian agencies secure their network connections under CISA’s</w:t>
      </w:r>
      <w:r>
        <w:t xml:space="preserve"> </w:t>
      </w:r>
      <w:hyperlink r:id="rId20">
        <w:r>
          <w:rPr>
            <w:rStyle w:val="Hyperlink"/>
          </w:rPr>
          <w:t xml:space="preserve">Trusted Internet Connections (TIC) 3.0</w:t>
        </w:r>
      </w:hyperlink>
      <w:r>
        <w:t xml:space="preserve"> </w:t>
      </w:r>
      <w:r>
        <w:t xml:space="preserve">program, which implements OMB M-19-26, Update to the Trusted Internet Connections (TIC) Initiative (September 12, 2019). TIC 3.0 is set out in CISA’s core guidance documents and use cases (as of September 2026).</w:t>
      </w:r>
    </w:p>
    <w:p>
      <w:pPr>
        <w:pStyle w:val="Compact"/>
        <w:numPr>
          <w:ilvl w:val="0"/>
          <w:numId w:val="1006"/>
        </w:numPr>
      </w:pPr>
      <w:r>
        <w:t xml:space="preserve">The</w:t>
      </w:r>
      <w:r>
        <w:t xml:space="preserve"> </w:t>
      </w:r>
      <w:r>
        <w:rPr>
          <w:rStyle w:val="Fill-in"/>
        </w:rPr>
        <w:t xml:space="preserve">[System owner]</w:t>
      </w:r>
      <w:r>
        <w:t xml:space="preserve"> </w:t>
      </w:r>
      <w:r>
        <w:t xml:space="preserve">shall implement the system’s external connections in accordance with the agency’s TIC 3.0 architecture and the TIC 3.0 use cases that apply to the system. (SC-7c)</w:t>
      </w:r>
    </w:p>
    <w:bookmarkEnd w:id="21"/>
    <w:bookmarkEnd w:id="22"/>
    <w:bookmarkStart w:id="23" w:name="X2b8de20cf98ecb7b6fd679b1bacec144cb5a261"/>
    <w:p>
      <w:pPr>
        <w:pStyle w:val="Heading3"/>
      </w:pPr>
      <w:r>
        <w:t xml:space="preserve">Cryptographic key establishment and management (SC-12)</w:t>
      </w:r>
    </w:p>
    <w:p>
      <w:pPr>
        <w:pStyle w:val="Compact"/>
        <w:numPr>
          <w:ilvl w:val="0"/>
          <w:numId w:val="1007"/>
        </w:numPr>
      </w:pPr>
      <w:r>
        <w:t xml:space="preserve">The</w:t>
      </w:r>
      <w:r>
        <w:t xml:space="preserve"> </w:t>
      </w:r>
      <w:r>
        <w:rPr>
          <w:rStyle w:val="Fill-in"/>
        </w:rPr>
        <w:t xml:space="preserve">[System owner]</w:t>
      </w:r>
      <w:r>
        <w:t xml:space="preserve"> </w:t>
      </w:r>
      <w:r>
        <w:t xml:space="preserve">shall establish and manage cryptographic keys, wherever the system employs cryptography, in accordance with</w:t>
      </w:r>
      <w:r>
        <w:t xml:space="preserve"> </w:t>
      </w:r>
      <w:r>
        <w:rPr>
          <w:rStyle w:val="Fill-in"/>
        </w:rPr>
        <w:t xml:space="preserve">[Fill in: requirements for key generation, distribution, storage, access, and destruction. Typical: the requirements for key generation, distribution, storage, access and destruction in the encryption and key management standard]</w:t>
      </w:r>
      <w:r>
        <w:t xml:space="preserve">. (SC-12)</w:t>
      </w:r>
    </w:p>
    <w:bookmarkEnd w:id="23"/>
    <w:bookmarkStart w:id="27" w:name="cryptographic-protection-sc-13"/>
    <w:p>
      <w:pPr>
        <w:pStyle w:val="Heading3"/>
      </w:pPr>
      <w:r>
        <w:t xml:space="preserve">Cryptographic protection (SC-13)</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determine the cryptographic uses for the organization’s systems, which include</w:t>
      </w:r>
      <w:r>
        <w:t xml:space="preserve"> </w:t>
      </w:r>
      <w:r>
        <w:rPr>
          <w:rStyle w:val="Fill-in"/>
        </w:rPr>
        <w:t xml:space="preserve">[Fill in: cryptographic uses. Typical: encryption in transit and at rest, digital signatures and authentication]</w:t>
      </w:r>
      <w:r>
        <w:t xml:space="preserve">. (SC-13a)</w:t>
      </w:r>
    </w:p>
    <w:p>
      <w:pPr>
        <w:pStyle w:val="Compact"/>
        <w:numPr>
          <w:ilvl w:val="0"/>
          <w:numId w:val="1008"/>
        </w:numPr>
      </w:pPr>
      <w:r>
        <w:t xml:space="preserve">The</w:t>
      </w:r>
      <w:r>
        <w:t xml:space="preserve"> </w:t>
      </w:r>
      <w:r>
        <w:rPr>
          <w:rStyle w:val="Fill-in"/>
        </w:rPr>
        <w:t xml:space="preserve">[System owner]</w:t>
      </w:r>
      <w:r>
        <w:t xml:space="preserve"> </w:t>
      </w:r>
      <w:r>
        <w:t xml:space="preserve">shall implement the following types of cryptography for each cryptographic use:</w:t>
      </w:r>
      <w:r>
        <w:t xml:space="preserve"> </w:t>
      </w:r>
      <w:r>
        <w:rPr>
          <w:rStyle w:val="Fill-in"/>
        </w:rPr>
        <w:t xml:space="preserve">[Fill in: types of cryptography for each specified cryptographic use. Typical: NIST-approved algorithms in cryptographic modules validated under FIPS 140-3 (or FIPS 140-2 for existing systems)]</w:t>
      </w:r>
      <w:r>
        <w:t xml:space="preserve">. (SC-13b)</w:t>
      </w:r>
    </w:p>
    <w:bookmarkStart w:id="26" w:name="federal-systems-1"/>
    <w:p>
      <w:pPr>
        <w:pStyle w:val="Heading4"/>
      </w:pPr>
      <w:r>
        <w:t xml:space="preserve">Federal systems</w:t>
      </w:r>
    </w:p>
    <w:p>
      <w:pPr>
        <w:pStyle w:val="FirstParagraph"/>
      </w:pPr>
      <w:hyperlink r:id="rId24">
        <w:r>
          <w:rPr>
            <w:rStyle w:val="Hyperlink"/>
          </w:rPr>
          <w:t xml:space="preserve">FIPS 140-3</w:t>
        </w:r>
      </w:hyperlink>
      <w:r>
        <w:t xml:space="preserve"> </w:t>
      </w:r>
      <w:r>
        <w:t xml:space="preserve">(March 22, 2019)</w:t>
      </w:r>
      <w:r>
        <w:t xml:space="preserve"> </w:t>
      </w:r>
      <w:r>
        <w:t xml:space="preserve">“is applicable to all Federal agencies that use cryptography-based security systems to protect sensitive information”</w:t>
      </w:r>
      <w:r>
        <w:t xml:space="preserve">, and modules validated under NIST’s Cryptographic Module Validation Program (CMVP) are considered to conform to it (sections 6 and 9). The CMVP’s</w:t>
      </w:r>
      <w:r>
        <w:t xml:space="preserve"> </w:t>
      </w:r>
      <w:hyperlink r:id="rId25">
        <w:r>
          <w:rPr>
            <w:rStyle w:val="Hyperlink"/>
          </w:rPr>
          <w:t xml:space="preserve">FIPS 140-3 transition page</w:t>
        </w:r>
      </w:hyperlink>
      <w:r>
        <w:t xml:space="preserve"> </w:t>
      </w:r>
      <w:r>
        <w:t xml:space="preserve">sets the schedule for moving FIPS 140-2 validations to the Historical List in September 2026; modules on the Historical List remain supported for existing systems, but the standard notes that the Historical List</w:t>
      </w:r>
      <w:r>
        <w:t xml:space="preserve"> </w:t>
      </w:r>
      <w:r>
        <w:t xml:space="preserve">“should not be used for procurement decisions”</w:t>
      </w:r>
      <w:r>
        <w:t xml:space="preserve"> </w:t>
      </w:r>
      <w:r>
        <w:t xml:space="preserve">(as of September 2026).</w:t>
      </w:r>
    </w:p>
    <w:p>
      <w:pPr>
        <w:pStyle w:val="Compact"/>
        <w:numPr>
          <w:ilvl w:val="0"/>
          <w:numId w:val="1009"/>
        </w:numPr>
      </w:pPr>
      <w:r>
        <w:t xml:space="preserve">The</w:t>
      </w:r>
      <w:r>
        <w:t xml:space="preserve"> </w:t>
      </w:r>
      <w:r>
        <w:rPr>
          <w:rStyle w:val="Fill-in"/>
        </w:rPr>
        <w:t xml:space="preserve">[System owner]</w:t>
      </w:r>
      <w:r>
        <w:t xml:space="preserve"> </w:t>
      </w:r>
      <w:r>
        <w:t xml:space="preserve">shall use cryptographic modules validated by the CMVP wherever the system uses cryptography to protect sensitive information. (SC-13b)</w:t>
      </w:r>
    </w:p>
    <w:p>
      <w:pPr>
        <w:pStyle w:val="Compact"/>
        <w:numPr>
          <w:ilvl w:val="0"/>
          <w:numId w:val="1009"/>
        </w:numPr>
      </w:pPr>
      <w:r>
        <w:t xml:space="preserve">The</w:t>
      </w:r>
      <w:r>
        <w:t xml:space="preserve"> </w:t>
      </w:r>
      <w:r>
        <w:rPr>
          <w:rStyle w:val="Fill-in"/>
        </w:rPr>
        <w:t xml:space="preserve">[System owner]</w:t>
      </w:r>
      <w:r>
        <w:t xml:space="preserve"> </w:t>
      </w:r>
      <w:r>
        <w:t xml:space="preserve">shall select FIPS 140-3 validated modules for new systems and new purchases. (SC-13b)</w:t>
      </w:r>
    </w:p>
    <w:bookmarkEnd w:id="26"/>
    <w:bookmarkEnd w:id="27"/>
    <w:bookmarkStart w:id="28" w:name="Xe590191d5b1c5956d67609fe9f2e395167b0d2c"/>
    <w:p>
      <w:pPr>
        <w:pStyle w:val="Heading3"/>
      </w:pPr>
      <w:r>
        <w:t xml:space="preserve">Collaborative computing devices and applications (SC-15)</w:t>
      </w:r>
    </w:p>
    <w:p>
      <w:pPr>
        <w:pStyle w:val="Compact"/>
        <w:numPr>
          <w:ilvl w:val="0"/>
          <w:numId w:val="1010"/>
        </w:numPr>
      </w:pPr>
      <w:r>
        <w:t xml:space="preserve">The</w:t>
      </w:r>
      <w:r>
        <w:t xml:space="preserve"> </w:t>
      </w:r>
      <w:r>
        <w:rPr>
          <w:rStyle w:val="Fill-in"/>
        </w:rPr>
        <w:t xml:space="preserve">[System owner]</w:t>
      </w:r>
      <w:r>
        <w:t xml:space="preserve"> </w:t>
      </w:r>
      <w:r>
        <w:t xml:space="preserve">shall prohibit remote activation of collaborative computing devices and applications, with these exceptions:</w:t>
      </w:r>
      <w:r>
        <w:t xml:space="preserve"> </w:t>
      </w:r>
      <w:r>
        <w:rPr>
          <w:rStyle w:val="Fill-in"/>
        </w:rPr>
        <w:t xml:space="preserve">[Fill in: exceptions where remote activation is to be allowed. Typical: none, except conference room equipment that support staff activate for maintenance with the room owner’s approval]</w:t>
      </w:r>
      <w:r>
        <w:t xml:space="preserve">. (SC-15a)</w:t>
      </w:r>
    </w:p>
    <w:p>
      <w:pPr>
        <w:pStyle w:val="Compact"/>
        <w:numPr>
          <w:ilvl w:val="0"/>
          <w:numId w:val="1010"/>
        </w:numPr>
      </w:pPr>
      <w:r>
        <w:t xml:space="preserve">The</w:t>
      </w:r>
      <w:r>
        <w:t xml:space="preserve"> </w:t>
      </w:r>
      <w:r>
        <w:rPr>
          <w:rStyle w:val="Fill-in"/>
        </w:rPr>
        <w:t xml:space="preserve">[System owner]</w:t>
      </w:r>
      <w:r>
        <w:t xml:space="preserve"> </w:t>
      </w:r>
      <w:r>
        <w:t xml:space="preserve">shall ensure collaborative computing devices and applications give an explicit indication of use to users physically present at the devices. (SC-15b)</w:t>
      </w:r>
    </w:p>
    <w:bookmarkEnd w:id="28"/>
    <w:bookmarkStart w:id="29" w:name="Xec9f8f0a54c66ad00a08fd17b585f4bee8db425"/>
    <w:p>
      <w:pPr>
        <w:pStyle w:val="Heading3"/>
      </w:pPr>
      <w:r>
        <w:t xml:space="preserve">Secure name and address resolution service (authoritative source) (SC-20)</w:t>
      </w:r>
    </w:p>
    <w:p>
      <w:pPr>
        <w:pStyle w:val="Compact"/>
        <w:numPr>
          <w:ilvl w:val="0"/>
          <w:numId w:val="1011"/>
        </w:numPr>
      </w:pPr>
      <w:r>
        <w:t xml:space="preserve">The</w:t>
      </w:r>
      <w:r>
        <w:t xml:space="preserve"> </w:t>
      </w:r>
      <w:r>
        <w:rPr>
          <w:rStyle w:val="Fill-in"/>
        </w:rPr>
        <w:t xml:space="preserve">[System owner]</w:t>
      </w:r>
      <w:r>
        <w:t xml:space="preserve"> </w:t>
      </w:r>
      <w:r>
        <w:t xml:space="preserve">shall ensure the system provides additional data origin authentication and integrity verification artifacts along with the authoritative name resolution data it returns in response to external name and address resolution queries. (SC-20a)</w:t>
      </w:r>
    </w:p>
    <w:p>
      <w:pPr>
        <w:pStyle w:val="Compact"/>
        <w:numPr>
          <w:ilvl w:val="0"/>
          <w:numId w:val="1011"/>
        </w:numPr>
      </w:pPr>
      <w:r>
        <w:t xml:space="preserve">When the system operates as part of a distributed, hierarchical namespace, the</w:t>
      </w:r>
      <w:r>
        <w:t xml:space="preserve"> </w:t>
      </w:r>
      <w:r>
        <w:rPr>
          <w:rStyle w:val="Fill-in"/>
        </w:rPr>
        <w:t xml:space="preserve">[System owner]</w:t>
      </w:r>
      <w:r>
        <w:t xml:space="preserve"> </w:t>
      </w:r>
      <w:r>
        <w:t xml:space="preserve">shall ensure it provides the means to indicate the security status of child zones and, if a child supports secure resolution services, to enable verification of a chain of trust among parent and child domains. (SC-20b)</w:t>
      </w:r>
    </w:p>
    <w:bookmarkEnd w:id="29"/>
    <w:bookmarkStart w:id="30" w:name="Xe84076ca1f0e05d26c8a8e450cbb5e99e994738"/>
    <w:p>
      <w:pPr>
        <w:pStyle w:val="Heading3"/>
      </w:pPr>
      <w:r>
        <w:t xml:space="preserve">Secure name and address resolution service (recursive or caching resolver) (SC-21)</w:t>
      </w:r>
    </w:p>
    <w:p>
      <w:pPr>
        <w:pStyle w:val="Compact"/>
        <w:numPr>
          <w:ilvl w:val="0"/>
          <w:numId w:val="1012"/>
        </w:numPr>
      </w:pPr>
      <w:r>
        <w:t xml:space="preserve">The</w:t>
      </w:r>
      <w:r>
        <w:t xml:space="preserve"> </w:t>
      </w:r>
      <w:r>
        <w:rPr>
          <w:rStyle w:val="Fill-in"/>
        </w:rPr>
        <w:t xml:space="preserve">[System owner]</w:t>
      </w:r>
      <w:r>
        <w:t xml:space="preserve"> </w:t>
      </w:r>
      <w:r>
        <w:t xml:space="preserve">shall ensure the system requests and performs data origin authentication and data integrity verification on the name and address resolution responses it receives from authoritative sources. (SC-21)</w:t>
      </w:r>
    </w:p>
    <w:bookmarkEnd w:id="30"/>
    <w:bookmarkStart w:id="31" w:name="X8f12cca0f3cf7ed29cfff633cf8e2267823ae23"/>
    <w:p>
      <w:pPr>
        <w:pStyle w:val="Heading3"/>
      </w:pPr>
      <w:r>
        <w:t xml:space="preserve">Architecture and provisioning for name and address resolution service (SC-22)</w:t>
      </w:r>
    </w:p>
    <w:p>
      <w:pPr>
        <w:pStyle w:val="Compact"/>
        <w:numPr>
          <w:ilvl w:val="0"/>
          <w:numId w:val="1013"/>
        </w:numPr>
      </w:pPr>
      <w:r>
        <w:t xml:space="preserve">The</w:t>
      </w:r>
      <w:r>
        <w:t xml:space="preserve"> </w:t>
      </w:r>
      <w:r>
        <w:rPr>
          <w:rStyle w:val="Fill-in"/>
        </w:rPr>
        <w:t xml:space="preserve">[System owner]</w:t>
      </w:r>
      <w:r>
        <w:t xml:space="preserve"> </w:t>
      </w:r>
      <w:r>
        <w:t xml:space="preserve">shall ensure the systems that together provide name and address resolution service for the organization are fault-tolerant and implement internal and external role separation. (SC-22)</w:t>
      </w:r>
    </w:p>
    <w:bookmarkEnd w:id="31"/>
    <w:bookmarkStart w:id="32" w:name="process-isolation-sc-39"/>
    <w:p>
      <w:pPr>
        <w:pStyle w:val="Heading3"/>
      </w:pPr>
      <w:r>
        <w:t xml:space="preserve">Process isolation (SC-39)</w:t>
      </w:r>
    </w:p>
    <w:p>
      <w:pPr>
        <w:pStyle w:val="Compact"/>
        <w:numPr>
          <w:ilvl w:val="0"/>
          <w:numId w:val="1014"/>
        </w:numPr>
      </w:pPr>
      <w:r>
        <w:t xml:space="preserve">The</w:t>
      </w:r>
      <w:r>
        <w:t xml:space="preserve"> </w:t>
      </w:r>
      <w:r>
        <w:rPr>
          <w:rStyle w:val="Fill-in"/>
        </w:rPr>
        <w:t xml:space="preserve">[System owner]</w:t>
      </w:r>
      <w:r>
        <w:t xml:space="preserve"> </w:t>
      </w:r>
      <w:r>
        <w:t xml:space="preserve">shall ensure the system maintains a separate execution domain for each executing system process. (SC-39)</w:t>
      </w:r>
    </w:p>
    <w:bookmarkEnd w:id="32"/>
    <w:bookmarkEnd w:id="33"/>
    <w:bookmarkStart w:id="37" w:name="review-and-update"/>
    <w:p>
      <w:pPr>
        <w:pStyle w:val="Heading2"/>
      </w:pPr>
      <w:r>
        <w:t xml:space="preserve">Review and update</w:t>
      </w:r>
    </w:p>
    <w:p>
      <w:pPr>
        <w:pStyle w:val="Compact"/>
        <w:numPr>
          <w:ilvl w:val="0"/>
          <w:numId w:val="1015"/>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communications protection policy is reviewed and updated. Typical: annually]</w:t>
      </w:r>
      <w:r>
        <w:t xml:space="preserve"> </w:t>
      </w:r>
      <w:r>
        <w:t xml:space="preserve">and following</w:t>
      </w:r>
      <w:r>
        <w:t xml:space="preserve"> </w:t>
      </w:r>
      <w:r>
        <w:rPr>
          <w:rStyle w:val="Fill-in"/>
        </w:rPr>
        <w:t xml:space="preserve">[Fill in: events that would require the current system and communications protection policy to be reviewed and updated. Typical: assessment or audit findings, security incidents or breaches, and changes in applicable laws, executive orders, directives, regulations, policies, standards or guidelines]</w:t>
      </w:r>
      <w:r>
        <w:t xml:space="preserve">. (SC-1c.1)</w:t>
      </w:r>
    </w:p>
    <w:p>
      <w:pPr>
        <w:pStyle w:val="Compact"/>
        <w:numPr>
          <w:ilvl w:val="0"/>
          <w:numId w:val="1015"/>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communications protection procedures are reviewed and updated. Typical: annually]</w:t>
      </w:r>
      <w:r>
        <w:t xml:space="preserve"> </w:t>
      </w:r>
      <w:r>
        <w:t xml:space="preserve">and following</w:t>
      </w:r>
      <w:r>
        <w:t xml:space="preserve"> </w:t>
      </w:r>
      <w:r>
        <w:rPr>
          <w:rStyle w:val="Fill-in"/>
        </w:rPr>
        <w:t xml:space="preserve">[Fill in: events that would require the system and communications protection procedures to be reviewed and updated. Typical: the same events as the policy, and changes to the systems, tools or services the procedures describe]</w:t>
      </w:r>
      <w:r>
        <w:t xml:space="preserve">. (SC-1c.2)</w:t>
      </w:r>
    </w:p>
    <w:bookmarkStart w:id="36" w:name="federal-systems-2"/>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4">
        <w:r>
          <w:rPr>
            <w:rStyle w:val="Hyperlink"/>
          </w:rPr>
          <w:t xml:space="preserve">44 U.S.C. § 3554</w:t>
        </w:r>
      </w:hyperlink>
      <w:r>
        <w:t xml:space="preserve">, Federal agency responsibilities) and</w:t>
      </w:r>
      <w:r>
        <w:t xml:space="preserve"> </w:t>
      </w:r>
      <w:hyperlink r:id="rId35">
        <w:r>
          <w:rPr>
            <w:rStyle w:val="Hyperlink"/>
          </w:rPr>
          <w:t xml:space="preserve">OMB Circular A-130</w:t>
        </w:r>
      </w:hyperlink>
      <w:r>
        <w:t xml:space="preserve">, Appendix I, Responsibilities for Protecting and Managing Federal Information Resources.</w:t>
      </w:r>
    </w:p>
    <w:p>
      <w:pPr>
        <w:pStyle w:val="Compact"/>
        <w:numPr>
          <w:ilvl w:val="0"/>
          <w:numId w:val="1016"/>
        </w:numPr>
      </w:pPr>
      <w:r>
        <w:t xml:space="preserve">Where the agency’s organization-wide policy sets a value for a parameter in this policy, each system shall use that value or a stricter one. (SC-1a.1(b))</w:t>
      </w:r>
    </w:p>
    <w:bookmarkEnd w:id="36"/>
    <w:bookmarkEnd w:id="37"/>
    <w:bookmarkEnd w:id="3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Communications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5" Target="https://csrc.nist.gov/projects/fips-140-3-transition-effort" TargetMode="External" /><Relationship Type="http://schemas.openxmlformats.org/officeDocument/2006/relationships/hyperlink" Id="rId24" Target="https://csrc.nist.gov/pubs/fips/140-3/final" TargetMode="External" /><Relationship Type="http://schemas.openxmlformats.org/officeDocument/2006/relationships/hyperlink" Id="rId9" Target="https://kston83.github.io/nist-guide/templates/policies/sc/" TargetMode="External" /><Relationship Type="http://schemas.openxmlformats.org/officeDocument/2006/relationships/hyperlink" Id="rId34" Target="https://uscode.house.gov/view.xhtml?req=granuleid:USC-prelim-title44-section3554&amp;num=0&amp;edition=prelim" TargetMode="External" /><Relationship Type="http://schemas.openxmlformats.org/officeDocument/2006/relationships/hyperlink" Id="rId20" Target="https://www.cisa.gov/resources-tools/programs/trusted-internet-connections-tic" TargetMode="External" /><Relationship Type="http://schemas.openxmlformats.org/officeDocument/2006/relationships/hyperlink" Id="rId35"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5" Target="https://csrc.nist.gov/projects/fips-140-3-transition-effort" TargetMode="External" /><Relationship Type="http://schemas.openxmlformats.org/officeDocument/2006/relationships/hyperlink" Id="rId24" Target="https://csrc.nist.gov/pubs/fips/140-3/final" TargetMode="External" /><Relationship Type="http://schemas.openxmlformats.org/officeDocument/2006/relationships/hyperlink" Id="rId9" Target="https://kston83.github.io/nist-guide/templates/policies/sc/" TargetMode="External" /><Relationship Type="http://schemas.openxmlformats.org/officeDocument/2006/relationships/hyperlink" Id="rId34" Target="https://uscode.house.gov/view.xhtml?req=granuleid:USC-prelim-title44-section3554&amp;num=0&amp;edition=prelim" TargetMode="External" /><Relationship Type="http://schemas.openxmlformats.org/officeDocument/2006/relationships/hyperlink" Id="rId20" Target="https://www.cisa.gov/resources-tools/programs/trusted-internet-connections-tic" TargetMode="External" /><Relationship Type="http://schemas.openxmlformats.org/officeDocument/2006/relationships/hyperlink" Id="rId35"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