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20"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19" w:name="X9d1e5ef14980f89d9ba4b9d2bac7042af3e3668"/>
    <w:p>
      <w:pPr>
        <w:pStyle w:val="Heading3"/>
      </w:pPr>
      <w:r>
        <w:t xml:space="preserve">Personally identifiable information (SC-7(24))</w:t>
      </w:r>
    </w:p>
    <w:p>
      <w:pPr>
        <w:pStyle w:val="Guidance"/>
      </w:pPr>
      <w:r>
        <w:t xml:space="preserve">Processing rules say which data elements of personally identifiable information may cross each boundary, to whom and for what purpose. Data loss prevention tools and interface allow lists are the usual monitoring mechanisms. SC-7(24) is in the Privacy baseline only.</w:t>
      </w:r>
    </w:p>
    <w:p>
      <w:pPr>
        <w:pStyle w:val="Compact"/>
        <w:numPr>
          <w:ilvl w:val="0"/>
          <w:numId w:val="1004"/>
        </w:numPr>
      </w:pPr>
      <w:r>
        <w:t xml:space="preserve">For a system that processes personally identifiable information, the</w:t>
      </w:r>
      <w:r>
        <w:t xml:space="preserve"> </w:t>
      </w:r>
      <w:r>
        <w:rPr>
          <w:rStyle w:val="Fill-in"/>
        </w:rPr>
        <w:t xml:space="preserve">[System owner]</w:t>
      </w:r>
      <w:r>
        <w:t xml:space="preserve"> </w:t>
      </w:r>
      <w:r>
        <w:t xml:space="preserve">shall apply</w:t>
      </w:r>
      <w:r>
        <w:t xml:space="preserve"> </w:t>
      </w:r>
      <w:r>
        <w:rPr>
          <w:rStyle w:val="Fill-in"/>
        </w:rPr>
        <w:t xml:space="preserve">[Fill in: processing rules for systems that process personally identifiable information. Typical: the permitted purposes, recipients and data elements for each flow of personally identifiable information, as set out in the system’s privacy impact assessment]</w:t>
      </w:r>
      <w:r>
        <w:t xml:space="preserve"> </w:t>
      </w:r>
      <w:r>
        <w:t xml:space="preserve">to its data elements of personally identifiable information. (SC-7(24)(a))</w:t>
      </w:r>
    </w:p>
    <w:p>
      <w:pPr>
        <w:pStyle w:val="Compact"/>
        <w:numPr>
          <w:ilvl w:val="0"/>
          <w:numId w:val="1004"/>
        </w:numPr>
      </w:pPr>
      <w:r>
        <w:t xml:space="preserve">For such a system, the</w:t>
      </w:r>
      <w:r>
        <w:t xml:space="preserve"> </w:t>
      </w:r>
      <w:r>
        <w:rPr>
          <w:rStyle w:val="Fill-in"/>
        </w:rPr>
        <w:t xml:space="preserve">[System owner]</w:t>
      </w:r>
      <w:r>
        <w:t xml:space="preserve"> </w:t>
      </w:r>
      <w:r>
        <w:t xml:space="preserve">shall monitor for permitted processing at the external interfaces to the system and at key internal boundaries within the system. (SC-7(24)(b))</w:t>
      </w:r>
    </w:p>
    <w:p>
      <w:pPr>
        <w:pStyle w:val="Compact"/>
        <w:numPr>
          <w:ilvl w:val="0"/>
          <w:numId w:val="1004"/>
        </w:numPr>
      </w:pPr>
      <w:r>
        <w:t xml:space="preserve">For such a system, the</w:t>
      </w:r>
      <w:r>
        <w:t xml:space="preserve"> </w:t>
      </w:r>
      <w:r>
        <w:rPr>
          <w:rStyle w:val="Fill-in"/>
        </w:rPr>
        <w:t xml:space="preserve">[System owner]</w:t>
      </w:r>
      <w:r>
        <w:t xml:space="preserve"> </w:t>
      </w:r>
      <w:r>
        <w:t xml:space="preserve">shall document each processing exception. (SC-7(24)(c))</w:t>
      </w:r>
    </w:p>
    <w:p>
      <w:pPr>
        <w:pStyle w:val="Compact"/>
        <w:numPr>
          <w:ilvl w:val="0"/>
          <w:numId w:val="1004"/>
        </w:numPr>
      </w:pPr>
      <w:r>
        <w:t xml:space="preserve">For such a system, the</w:t>
      </w:r>
      <w:r>
        <w:t xml:space="preserve"> </w:t>
      </w:r>
      <w:r>
        <w:rPr>
          <w:rStyle w:val="Fill-in"/>
        </w:rPr>
        <w:t xml:space="preserve">[System owner]</w:t>
      </w:r>
      <w:r>
        <w:t xml:space="preserve"> </w:t>
      </w:r>
      <w:r>
        <w:t xml:space="preserve">shall review processing exceptions and remove those that are no longer supported. (SC-7(24)(d))</w:t>
      </w:r>
    </w:p>
    <w:bookmarkEnd w:id="19"/>
    <w:bookmarkEnd w:id="20"/>
    <w:bookmarkStart w:id="24" w:name="review-and-update"/>
    <w:p>
      <w:pPr>
        <w:pStyle w:val="Heading2"/>
      </w:pPr>
      <w:r>
        <w:t xml:space="preserve">Review and update</w:t>
      </w:r>
    </w:p>
    <w:p>
      <w:pPr>
        <w:pStyle w:val="Compact"/>
        <w:numPr>
          <w:ilvl w:val="0"/>
          <w:numId w:val="100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05"/>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23" w:name="federal-systems"/>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1">
        <w:r>
          <w:rPr>
            <w:rStyle w:val="Hyperlink"/>
          </w:rPr>
          <w:t xml:space="preserve">44 U.S.C. § 3554</w:t>
        </w:r>
      </w:hyperlink>
      <w:r>
        <w:t xml:space="preserve">, Federal agency responsibilities) and</w:t>
      </w:r>
      <w:r>
        <w:t xml:space="preserve"> </w:t>
      </w:r>
      <w:hyperlink r:id="rId22">
        <w:r>
          <w:rPr>
            <w:rStyle w:val="Hyperlink"/>
          </w:rPr>
          <w:t xml:space="preserve">OMB Circular A-130</w:t>
        </w:r>
      </w:hyperlink>
      <w:r>
        <w:t xml:space="preserve">, Appendix I, Responsibilities for Protecting and Managing Federal Information Resources.</w:t>
      </w:r>
    </w:p>
    <w:p>
      <w:pPr>
        <w:pStyle w:val="Compact"/>
        <w:numPr>
          <w:ilvl w:val="0"/>
          <w:numId w:val="1006"/>
        </w:numPr>
      </w:pPr>
      <w:r>
        <w:t xml:space="preserve">Where the agency’s organization-wide policy sets a value for a parameter in this policy, each system shall use that value or a stricter one. (SC-1a.1(b))</w:t>
      </w:r>
    </w:p>
    <w:bookmarkEnd w:id="23"/>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c/"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2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sc/"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2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