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8" w:name="system-and-information-integrity-policy"/>
    <w:p>
      <w:pPr>
        <w:pStyle w:val="Heading1"/>
      </w:pPr>
      <w:r>
        <w:t xml:space="preserve">System and Information Integrity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https://kston83.github.io/nist-guide/templates/policies/si/</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SI-1,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SI-1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Information Integrity, and who is accountable for meeting those requirements. (SI-1a.1(a))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(SI-1a.1(a))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(SI-1a.1(a))</w:t>
      </w:r>
    </w:p>
    <w:p>
      <w:pPr>
        <w:pStyle w:val="Compact"/>
        <w:numPr>
          <w:ilvl w:val="0"/>
          <w:numId w:val="1001"/>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manage the development, documentation and dissemination of this policy and its procedures. (SI-1b)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(SI-1a.1(a))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(SI-1a.1(a))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(SI-1a.1(a))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(SI-1a.1(a))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(SI-1a.1(b))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(SI-1a.1(a))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(SI-1a.1(a))</w:t>
      </w:r>
    </w:p>
    <w:p>
      <w:pPr>
        <w:pStyle w:val="Compact"/>
        <w:numPr>
          <w:ilvl w:val="0"/>
          <w:numId w:val="1002"/>
        </w:numPr>
      </w:pPr>
      <w:r>
        <w:t xml:space="preserve">Violations of this policy shall be handled through the organization’s sanctions process. (SI-1a.1(a))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ensure that documented procedures exist to implement this policy and its associated controls. (SI-1a.2)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information integrity policy is to be disseminated. Typical: everyone within its scope, through the policy library]</w:t>
      </w:r>
      <w:r>
        <w:t xml:space="preserve">. (SI-1a)</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information integrity procedures are to be disseminated. Typical: the people who carry them out, and the system owners]</w:t>
      </w:r>
      <w:r>
        <w:t xml:space="preserve">. (SI-1a)</w:t>
      </w:r>
    </w:p>
    <w:bookmarkEnd w:id="18"/>
    <w:bookmarkStart w:id="64"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2" w:name="flaw-remediation-si-2"/>
    <w:p>
      <w:pPr>
        <w:pStyle w:val="Heading3"/>
      </w:pPr>
      <w:r>
        <w:t xml:space="preserve">Flaw remediation (SI-2)</w:t>
      </w:r>
    </w:p>
    <w:p>
      <w:pPr>
        <w:pStyle w:val="Guidance"/>
      </w:pPr>
      <w:r>
        <w:t xml:space="preserve">SI-2 is the fixing half of vulnerability management: RA-5 finds the flaws, and SI-2 installs the updates that correct them. The installation times here count from the release of the update, while the RA-5 remediation times count from when a finding is reported, so keep the two sets of values consistent. The</w:t>
      </w:r>
      <w:r>
        <w:t xml:space="preserve"> </w:t>
      </w:r>
      <w:hyperlink r:id="rId19">
        <w:r>
          <w:rPr>
            <w:rStyle w:val="Hyperlink"/>
          </w:rPr>
          <w:t xml:space="preserve">Patch and Flaw Remediation Standard</w:t>
        </w:r>
      </w:hyperlink>
      <w:r>
        <w:t xml:space="preserve"> </w:t>
      </w:r>
      <w:r>
        <w:t xml:space="preserve">sets the test groups, deployment rings and schedules. NIST SP 800-40 Rev. 4, Guide to Enterprise Patch Management Planning (April 2022, current as of September 2026), describes how to plan patching as routine preventive maintenance.</w:t>
      </w:r>
    </w:p>
    <w:p>
      <w:pPr>
        <w:pStyle w:val="Compact"/>
        <w:numPr>
          <w:ilvl w:val="0"/>
          <w:numId w:val="1004"/>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004"/>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004"/>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004"/>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004"/>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004"/>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p>
      <w:pPr>
        <w:pStyle w:val="Guidance"/>
      </w:pPr>
      <w:r>
        <w:t xml:space="preserve">Unsupported software and firmware cannot be fixed. Record each unsupported component as a flaw, with a replacement date in the plan of action and milestones, until it is removed (SA-22).</w:t>
      </w:r>
    </w:p>
    <w:bookmarkStart w:id="21" w:name="federal-systems"/>
    <w:p>
      <w:pPr>
        <w:pStyle w:val="Heading4"/>
      </w:pPr>
      <w:r>
        <w:t xml:space="preserve">Federal systems</w:t>
      </w:r>
    </w:p>
    <w:p>
      <w:pPr>
        <w:pStyle w:val="FirstParagraph"/>
      </w:pPr>
      <w:r>
        <w:t xml:space="preserve">CISA</w:t>
      </w:r>
      <w:r>
        <w:t xml:space="preserve"> </w:t>
      </w:r>
      <w:hyperlink r:id="rId20">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21"/>
    <w:bookmarkEnd w:id="22"/>
    <w:bookmarkStart w:id="25" w:name="automated-flaw-remediation-status-si-22"/>
    <w:p>
      <w:pPr>
        <w:pStyle w:val="Heading3"/>
      </w:pPr>
      <w:r>
        <w:t xml:space="preserve">Automated flaw remediation status (SI-2(2))</w:t>
      </w:r>
    </w:p>
    <w:p>
      <w:pPr>
        <w:pStyle w:val="Guidance"/>
      </w:pPr>
      <w:r>
        <w:t xml:space="preserve">Patch compliance reports from the patch management tool, checked against authenticated vulnerability scans, show which components are missing updates. Components the tools cannot reach, such as appliances, need a manual check on the same schedule.</w:t>
      </w:r>
    </w:p>
    <w:p>
      <w:pPr>
        <w:pStyle w:val="Compact"/>
        <w:numPr>
          <w:ilvl w:val="0"/>
          <w:numId w:val="1006"/>
        </w:numPr>
      </w:pPr>
      <w:r>
        <w:t xml:space="preserve">The</w:t>
      </w:r>
      <w:r>
        <w:t xml:space="preserve"> </w:t>
      </w:r>
      <w:r>
        <w:rPr>
          <w:rStyle w:val="Fill-in"/>
        </w:rPr>
        <w:t xml:space="preserve">[System owner]</w:t>
      </w:r>
      <w:r>
        <w:t xml:space="preserve"> </w:t>
      </w:r>
      <w:r>
        <w:t xml:space="preserve">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bookmarkStart w:id="24" w:name="federal-systems-1"/>
    <w:p>
      <w:pPr>
        <w:pStyle w:val="Heading4"/>
      </w:pPr>
      <w:r>
        <w:t xml:space="preserve">Federal systems</w:t>
      </w:r>
    </w:p>
    <w:p>
      <w:pPr>
        <w:pStyle w:val="FirstParagraph"/>
      </w:pPr>
      <w:r>
        <w:t xml:space="preserve">CISA</w:t>
      </w:r>
      <w:r>
        <w:t xml:space="preserve"> </w:t>
      </w:r>
      <w:hyperlink r:id="rId23">
        <w:r>
          <w:rPr>
            <w:rStyle w:val="Hyperlink"/>
          </w:rPr>
          <w:t xml:space="preserve">BOD 23-01</w:t>
        </w:r>
      </w:hyperlink>
      <w:r>
        <w:t xml:space="preserve">, Improving Asset Visibility and Vulnerability Detection on Federal Networks (October 3, 2022), requires federal civilian agencies to perform automated asset discovery every 7 days and to initiate vulnerability enumeration across all discovered assets, including roaming devices such as laptops, every 14 days.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(SI-2(2))</w:t>
      </w:r>
    </w:p>
    <w:bookmarkEnd w:id="24"/>
    <w:bookmarkEnd w:id="25"/>
    <w:bookmarkStart w:id="26" w:name="malicious-code-protection-si-3"/>
    <w:p>
      <w:pPr>
        <w:pStyle w:val="Heading3"/>
      </w:pPr>
      <w:r>
        <w:t xml:space="preserve">Malicious code protection (SI-3)</w:t>
      </w:r>
    </w:p>
    <w:p>
      <w:pPr>
        <w:pStyle w:val="Guidance"/>
      </w:pPr>
      <w:r>
        <w:t xml:space="preserve">Endpoint detection and response on servers and workstations, together with malware scanning in the email and web gateways, usually covers system entry and exit points. Non-signature-based means behavior or reputation analysis, which catches malware no signature yet describes. Enterprise tools are often common controls; the system owner makes sure every component that can run an agent has one.</w:t>
      </w:r>
    </w:p>
    <w:p>
      <w:pPr>
        <w:pStyle w:val="Compact"/>
        <w:numPr>
          <w:ilvl w:val="0"/>
          <w:numId w:val="1008"/>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008"/>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26"/>
    <w:bookmarkStart w:id="31" w:name="system-monitoring-si-4"/>
    <w:p>
      <w:pPr>
        <w:pStyle w:val="Heading3"/>
      </w:pPr>
      <w:r>
        <w:t xml:space="preserve">System monitoring (SI-4)</w:t>
      </w:r>
    </w:p>
    <w:p>
      <w:pPr>
        <w:pStyle w:val="Guidance"/>
      </w:pPr>
      <w:r>
        <w:t xml:space="preserve">System monitoring takes in the audit records reviewed under AU-6 and adds endpoint, network and cloud detection. The</w:t>
      </w:r>
      <w:r>
        <w:t xml:space="preserve"> </w:t>
      </w:r>
      <w:hyperlink r:id="rId27">
        <w:r>
          <w:rPr>
            <w:rStyle w:val="Hyperlink"/>
          </w:rPr>
          <w:t xml:space="preserve">System Monitoring Standard</w:t>
        </w:r>
      </w:hyperlink>
      <w:r>
        <w:t xml:space="preserve"> </w:t>
      </w:r>
      <w:r>
        <w:t xml:space="preserve">sets the log sources, detection coverage, alert handling and reporting. Legal review of monitoring (SI-4f) is usually done once for the organization’s monitoring program and repeated when monitoring changes, with a system use notification under AC-8.</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009"/>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009"/>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30" w:name="federal-systems-2"/>
    <w:p>
      <w:pPr>
        <w:pStyle w:val="Heading4"/>
      </w:pPr>
      <w:r>
        <w:t xml:space="preserve">Federal systems</w:t>
      </w:r>
    </w:p>
    <w:p>
      <w:pPr>
        <w:pStyle w:val="FirstParagraph"/>
      </w:pPr>
      <w:hyperlink r:id="rId28">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29">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010"/>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010"/>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30"/>
    <w:bookmarkEnd w:id="31"/>
    <w:bookmarkStart w:id="32" w:name="X8a80baf582a49d4d9889c3faf8928af9376698f"/>
    <w:p>
      <w:pPr>
        <w:pStyle w:val="Heading3"/>
      </w:pPr>
      <w:r>
        <w:t xml:space="preserve">Automated tools and mechanisms for real-time analysis (SI-4(2))</w:t>
      </w:r>
    </w:p>
    <w:p>
      <w:pPr>
        <w:pStyle w:val="Guidance"/>
      </w:pPr>
      <w:r>
        <w:t xml:space="preserve">Correlation rules and analytics in the SIEM, and the detection engines in endpoint and network tools, are the automated tools. Near real-time means minutes, not the next day’s review.</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bookmarkEnd w:id="32"/>
    <w:bookmarkStart w:id="33" w:name="X086976cc2050666cf15bad964011e507a1b4feb"/>
    <w:p>
      <w:pPr>
        <w:pStyle w:val="Heading3"/>
      </w:pPr>
      <w:r>
        <w:t xml:space="preserve">Inbound and outbound communications traffic (SI-4(4))</w:t>
      </w:r>
    </w:p>
    <w:p>
      <w:pPr>
        <w:pStyle w:val="Guidance"/>
      </w:pPr>
      <w:r>
        <w:t xml:space="preserve">Outbound monitoring is where data exfiltration and command-and-control traffic show up. Threat intelligence feeds supply the known malicious sources and destinations; a baseline of normal volumes supplies the unusual ones.</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monitor inbound communications traffic</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monitor outbound communications traffic</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bookmarkEnd w:id="33"/>
    <w:bookmarkStart w:id="34" w:name="system-generated-alerts-si-45"/>
    <w:p>
      <w:pPr>
        <w:pStyle w:val="Heading3"/>
      </w:pPr>
      <w:r>
        <w:t xml:space="preserve">System-generated alerts (SI-4(5))</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bookmarkEnd w:id="34"/>
    <w:bookmarkStart w:id="35" w:name="X9c137edcab08a9be4b1ceaf6227d36f194cb09d"/>
    <w:p>
      <w:pPr>
        <w:pStyle w:val="Heading3"/>
      </w:pPr>
      <w:r>
        <w:t xml:space="preserve">Visibility of encrypted communications (SI-4(10))</w:t>
      </w:r>
    </w:p>
    <w:p>
      <w:pPr>
        <w:pStyle w:val="Guidance"/>
      </w:pPr>
      <w:r>
        <w:t xml:space="preserve">Most traffic is encrypted, so monitoring tools see little unless it is decrypted at a proxy or gateway, or the tools read it at the endpoint. Decryption raises privacy and legal questions: decide the exempt categories with legal counsel and the senior privacy official, and protect the decryption keys under SC-12.</w:t>
      </w:r>
    </w:p>
    <w:p>
      <w:pPr>
        <w:pStyle w:val="Compact"/>
        <w:numPr>
          <w:ilvl w:val="0"/>
          <w:numId w:val="1014"/>
        </w:numPr>
      </w:pPr>
      <w:r>
        <w:t xml:space="preserve">The</w:t>
      </w:r>
      <w:r>
        <w:t xml:space="preserve"> </w:t>
      </w:r>
      <w:r>
        <w:rPr>
          <w:rStyle w:val="Fill-in"/>
        </w:rPr>
        <w:t xml:space="preserve">[System owner]</w:t>
      </w:r>
      <w:r>
        <w:t xml:space="preserve"> </w:t>
      </w:r>
      <w:r>
        <w:t xml:space="preserve">shall make provisions so that</w:t>
      </w:r>
      <w:r>
        <w:t xml:space="preserve"> </w:t>
      </w:r>
      <w:r>
        <w:rPr>
          <w:rStyle w:val="Fill-in"/>
        </w:rPr>
        <w:t xml:space="preserve">[Fill in: encrypted communications traffic to be made visible to system monitoring tools and mechanisms. Typical: encrypted traffic crossing the internet connection and the public-facing subnetwork, except categories exempted after legal and privacy review, such as health and financial sites]</w:t>
      </w:r>
      <w:r>
        <w:t xml:space="preserve"> </w:t>
      </w:r>
      <w:r>
        <w:t xml:space="preserve">is visible to</w:t>
      </w:r>
      <w:r>
        <w:t xml:space="preserve"> </w:t>
      </w:r>
      <w:r>
        <w:rPr>
          <w:rStyle w:val="Fill-in"/>
        </w:rPr>
        <w:t xml:space="preserve">[Fill in: system monitoring tools and mechanisms to be provided access to encrypted communications traffic. Typical: the intrusion detection and prevention systems and data loss prevention tools at the boundary]</w:t>
      </w:r>
      <w:r>
        <w:t xml:space="preserve">. (SI-4(10))</w:t>
      </w:r>
    </w:p>
    <w:bookmarkEnd w:id="35"/>
    <w:bookmarkStart w:id="36" w:name="X354d1c8e5138fd456cb34d9bd21eb5aefe63f64"/>
    <w:p>
      <w:pPr>
        <w:pStyle w:val="Heading3"/>
      </w:pPr>
      <w:r>
        <w:t xml:space="preserve">Automated organization-generated alerts (SI-4(12))</w:t>
      </w:r>
    </w:p>
    <w:p>
      <w:pPr>
        <w:pStyle w:val="Compact"/>
        <w:numPr>
          <w:ilvl w:val="0"/>
          <w:numId w:val="1015"/>
        </w:numPr>
      </w:pPr>
      <w:r>
        <w:t xml:space="preserve">The</w:t>
      </w:r>
      <w:r>
        <w:t xml:space="preserve"> </w:t>
      </w:r>
      <w:r>
        <w:rPr>
          <w:rStyle w:val="Fill-in"/>
        </w:rPr>
        <w:t xml:space="preserve">[Security operations team]</w:t>
      </w:r>
      <w:r>
        <w:t xml:space="preserve"> </w:t>
      </w:r>
      <w:r>
        <w:t xml:space="preserve">shall alert</w:t>
      </w:r>
      <w:r>
        <w:t xml:space="preserve"> </w:t>
      </w:r>
      <w:r>
        <w:rPr>
          <w:rStyle w:val="Fill-in"/>
        </w:rPr>
        <w:t xml:space="preserve">[Fill in: personnel or roles to be alerted when indications of inappropriate or unusual activity with security or privacy implications occur. Typical: the security operations team and the system owner]</w:t>
      </w:r>
      <w:r>
        <w:t xml:space="preserve"> </w:t>
      </w:r>
      <w:r>
        <w:t xml:space="preserve">using</w:t>
      </w:r>
      <w:r>
        <w:t xml:space="preserve"> </w:t>
      </w:r>
      <w:r>
        <w:rPr>
          <w:rStyle w:val="Fill-in"/>
        </w:rPr>
        <w:t xml:space="preserve">[Fill in: automated mechanisms used to alert personnel or roles. Typical: the security information and event management (SIEM) platform]</w:t>
      </w:r>
      <w:r>
        <w:t xml:space="preserve"> </w:t>
      </w:r>
      <w:r>
        <w:t xml:space="preserve">when the following indications of inappropriate or unusual activities with security or privacy implications occur:</w:t>
      </w:r>
      <w:r>
        <w:t xml:space="preserve"> </w:t>
      </w:r>
      <w:r>
        <w:rPr>
          <w:rStyle w:val="Fill-in"/>
        </w:rPr>
        <w:t xml:space="preserve">[Fill in: activities that trigger alerts to personnel or. Typical: use of privileged accounts outside approved change windows, bulk downloads or exports of sensitive information, disabled security tools, and new administrative accounts]</w:t>
      </w:r>
      <w:r>
        <w:t xml:space="preserve">. (SI-4(12))</w:t>
      </w:r>
    </w:p>
    <w:bookmarkEnd w:id="36"/>
    <w:bookmarkStart w:id="37" w:name="wireless-intrusion-detection-si-414"/>
    <w:p>
      <w:pPr>
        <w:pStyle w:val="Heading3"/>
      </w:pPr>
      <w:r>
        <w:t xml:space="preserve">Wireless intrusion detection (SI-4(14))</w:t>
      </w:r>
    </w:p>
    <w:p>
      <w:pPr>
        <w:pStyle w:val="Guidance"/>
      </w:pPr>
      <w:r>
        <w:t xml:space="preserve">A wireless intrusion detection system covers the facilities where the system’s components are located, including those with no approved wireless network, since rogue access points are the main concern there.</w:t>
      </w:r>
    </w:p>
    <w:p>
      <w:pPr>
        <w:pStyle w:val="Compact"/>
        <w:numPr>
          <w:ilvl w:val="0"/>
          <w:numId w:val="1016"/>
        </w:numPr>
      </w:pPr>
      <w:r>
        <w:t xml:space="preserve">The</w:t>
      </w:r>
      <w:r>
        <w:t xml:space="preserve"> </w:t>
      </w:r>
      <w:r>
        <w:rPr>
          <w:rStyle w:val="Fill-in"/>
        </w:rPr>
        <w:t xml:space="preserve">[System owner]</w:t>
      </w:r>
      <w:r>
        <w:t xml:space="preserve"> </w:t>
      </w:r>
      <w:r>
        <w:t xml:space="preserve">shall employ a wireless intrusion detection system to identify rogue wireless devices and to detect attack attempts and potential compromises or breaches to the system. (SI-4(14))</w:t>
      </w:r>
    </w:p>
    <w:bookmarkEnd w:id="37"/>
    <w:bookmarkStart w:id="38" w:name="privileged-users-si-420"/>
    <w:p>
      <w:pPr>
        <w:pStyle w:val="Heading3"/>
      </w:pPr>
      <w:r>
        <w:t xml:space="preserve">Privileged users (SI-4(20))</w:t>
      </w:r>
    </w:p>
    <w:p>
      <w:pPr>
        <w:pStyle w:val="Compact"/>
        <w:numPr>
          <w:ilvl w:val="0"/>
          <w:numId w:val="1017"/>
        </w:numPr>
      </w:pPr>
      <w:r>
        <w:t xml:space="preserve">The</w:t>
      </w:r>
      <w:r>
        <w:t xml:space="preserve"> </w:t>
      </w:r>
      <w:r>
        <w:rPr>
          <w:rStyle w:val="Fill-in"/>
        </w:rPr>
        <w:t xml:space="preserve">[Security operations team]</w:t>
      </w:r>
      <w:r>
        <w:t xml:space="preserve"> </w:t>
      </w:r>
      <w:r>
        <w:t xml:space="preserve">shall implement the following additional monitoring of privileged users:</w:t>
      </w:r>
      <w:r>
        <w:t xml:space="preserve"> </w:t>
      </w:r>
      <w:r>
        <w:rPr>
          <w:rStyle w:val="Fill-in"/>
        </w:rPr>
        <w:t xml:space="preserve">[Fill in: additional monitoring of privileged users. Typical: recording of privileged sessions, alerts on high-risk privileged commands, and a review of privileged activity at least weekly]</w:t>
      </w:r>
      <w:r>
        <w:t xml:space="preserve">. (SI-4(20))</w:t>
      </w:r>
    </w:p>
    <w:bookmarkEnd w:id="38"/>
    <w:bookmarkStart w:id="39" w:name="unauthorized-network-services-si-422"/>
    <w:p>
      <w:pPr>
        <w:pStyle w:val="Heading3"/>
      </w:pPr>
      <w:r>
        <w:t xml:space="preserve">Unauthorized network services (SI-4(22))</w:t>
      </w:r>
    </w:p>
    <w:p>
      <w:pPr>
        <w:pStyle w:val="Compact"/>
        <w:numPr>
          <w:ilvl w:val="0"/>
          <w:numId w:val="1018"/>
        </w:numPr>
      </w:pPr>
      <w:r>
        <w:t xml:space="preserve">The</w:t>
      </w:r>
      <w:r>
        <w:t xml:space="preserve"> </w:t>
      </w:r>
      <w:r>
        <w:rPr>
          <w:rStyle w:val="Fill-in"/>
        </w:rPr>
        <w:t xml:space="preserve">[Security operations team]</w:t>
      </w:r>
      <w:r>
        <w:t xml:space="preserve"> </w:t>
      </w:r>
      <w:r>
        <w:t xml:space="preserve">shall detect network services that have not been authorized or approved by</w:t>
      </w:r>
      <w:r>
        <w:t xml:space="preserve"> </w:t>
      </w:r>
      <w:r>
        <w:rPr>
          <w:rStyle w:val="Fill-in"/>
        </w:rPr>
        <w:t xml:space="preserve">[Fill in: authorization or approval processes for network services. Typical: the change control process and the approved ports, protocols and services list]</w:t>
      </w:r>
      <w:r>
        <w:t xml:space="preserve">. (SI-4(22)(a))</w:t>
      </w:r>
    </w:p>
    <w:p>
      <w:pPr>
        <w:pStyle w:val="Compact"/>
        <w:numPr>
          <w:ilvl w:val="0"/>
          <w:numId w:val="1018"/>
        </w:numPr>
      </w:pPr>
      <w:r>
        <w:t xml:space="preserve">When unauthorized network services are detected, the</w:t>
      </w:r>
      <w:r>
        <w:t xml:space="preserve"> </w:t>
      </w:r>
      <w:r>
        <w:rPr>
          <w:rStyle w:val="Fill-in"/>
        </w:rPr>
        <w:t xml:space="preserve">[Security operations team]</w:t>
      </w:r>
      <w:r>
        <w:t xml:space="preserve"> </w:t>
      </w:r>
      <w:r>
        <w:t xml:space="preserve">shall</w:t>
      </w:r>
      <w:r>
        <w:t xml:space="preserve"> </w:t>
      </w:r>
      <w:r>
        <w:rPr>
          <w:rStyle w:val="Fill-in"/>
        </w:rPr>
        <w:t xml:space="preserve">[Select one or more: audit; alert [Assignment: organization-defined personnel or roles]. Typical: audit, and alert the security operations team and the system owner]</w:t>
      </w:r>
      <w:r>
        <w:t xml:space="preserve">. (SI-4(22)(b))</w:t>
      </w:r>
    </w:p>
    <w:bookmarkEnd w:id="39"/>
    <w:bookmarkStart w:id="43" w:name="X422471707f2a2f35375441b905309c1357cbe46"/>
    <w:p>
      <w:pPr>
        <w:pStyle w:val="Heading3"/>
      </w:pPr>
      <w:r>
        <w:t xml:space="preserve">Security alerts, advisories and directives (SI-5)</w:t>
      </w:r>
    </w:p>
    <w:p>
      <w:pPr>
        <w:pStyle w:val="Guidance"/>
      </w:pPr>
      <w:r>
        <w:t xml:space="preserve">Subscribing to the CISA advisories and the vendor security bulletins for every product in the component inventory (CM-8) is the usual starting point. The value is in routing: each alert reaches the people who run the affected component, with a due date.</w:t>
      </w:r>
    </w:p>
    <w:p>
      <w:pPr>
        <w:pStyle w:val="Compact"/>
        <w:numPr>
          <w:ilvl w:val="0"/>
          <w:numId w:val="1019"/>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019"/>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019"/>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019"/>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42" w:name="federal-systems-3"/>
    <w:p>
      <w:pPr>
        <w:pStyle w:val="Heading4"/>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40">
        <w:r>
          <w:rPr>
            <w:rStyle w:val="Hyperlink"/>
          </w:rPr>
          <w:t xml:space="preserve">44 U.S.C. § 3554(a)(1)(B)(ii) and (v)</w:t>
        </w:r>
      </w:hyperlink>
      <w:r>
        <w:t xml:space="preserve">). CISA publishes them on its</w:t>
      </w:r>
      <w:r>
        <w:t xml:space="preserve"> </w:t>
      </w:r>
      <w:hyperlink r:id="rId41">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42"/>
    <w:bookmarkEnd w:id="43"/>
    <w:bookmarkStart w:id="44" w:name="automated-alerts-and-advisories-si-51"/>
    <w:p>
      <w:pPr>
        <w:pStyle w:val="Heading3"/>
      </w:pPr>
      <w:r>
        <w:t xml:space="preserve">Automated alerts and advisories (SI-5(1))</w:t>
      </w:r>
    </w:p>
    <w:p>
      <w:pPr>
        <w:pStyle w:val="Compact"/>
        <w:numPr>
          <w:ilvl w:val="0"/>
          <w:numId w:val="1021"/>
        </w:numPr>
      </w:pPr>
      <w:r>
        <w:t xml:space="preserve">The</w:t>
      </w:r>
      <w:r>
        <w:t xml:space="preserve"> </w:t>
      </w:r>
      <w:r>
        <w:rPr>
          <w:rStyle w:val="Fill-in"/>
        </w:rPr>
        <w:t xml:space="preserve">[Security operations team]</w:t>
      </w:r>
      <w:r>
        <w:t xml:space="preserve"> </w:t>
      </w:r>
      <w:r>
        <w:t xml:space="preserve">shall broadcast security alert and advisory information throughout the organization using</w:t>
      </w:r>
      <w:r>
        <w:t xml:space="preserve"> </w:t>
      </w:r>
      <w:r>
        <w:rPr>
          <w:rStyle w:val="Fill-in"/>
        </w:rPr>
        <w:t xml:space="preserve">[Fill in: automated mechanisms used to broadcast security alert and advisory information throughout the organization. Typical: the ticketing system, which assigns each alert to the owners of the affected components, and the security team’s distribution lists]</w:t>
      </w:r>
      <w:r>
        <w:t xml:space="preserve">. (SI-5(1))</w:t>
      </w:r>
    </w:p>
    <w:bookmarkEnd w:id="44"/>
    <w:bookmarkStart w:id="45" w:name="X5f7b03126b2e6361387e0362f91112c5f7be0ca"/>
    <w:p>
      <w:pPr>
        <w:pStyle w:val="Heading3"/>
      </w:pPr>
      <w:r>
        <w:t xml:space="preserve">Security and privacy function verification (SI-6)</w:t>
      </w:r>
    </w:p>
    <w:p>
      <w:pPr>
        <w:pStyle w:val="Guidance"/>
      </w:pPr>
      <w:r>
        <w:t xml:space="preserve">Verification can be built-in self-tests, configuration compliance checks that confirm security settings are still in force, or scripted tests that attempt a blocked action and confirm it fails. Shutting a system down on every failed test is rarely acceptable, so most organizations choose an alternative action.</w:t>
      </w:r>
    </w:p>
    <w:p>
      <w:pPr>
        <w:pStyle w:val="Compact"/>
        <w:numPr>
          <w:ilvl w:val="0"/>
          <w:numId w:val="1022"/>
        </w:numPr>
      </w:pPr>
      <w:r>
        <w:t xml:space="preserve">The</w:t>
      </w:r>
      <w:r>
        <w:t xml:space="preserve"> </w:t>
      </w:r>
      <w:r>
        <w:rPr>
          <w:rStyle w:val="Fill-in"/>
        </w:rPr>
        <w:t xml:space="preserve">[System owner]</w:t>
      </w:r>
      <w:r>
        <w:t xml:space="preserve"> </w:t>
      </w:r>
      <w:r>
        <w:t xml:space="preserve">shall verify the correct operation of the following security functions:</w:t>
      </w:r>
      <w:r>
        <w:t xml:space="preserve"> </w:t>
      </w:r>
      <w:r>
        <w:rPr>
          <w:rStyle w:val="Fill-in"/>
        </w:rPr>
        <w:t xml:space="preserve">[Fill in: security functions to be verified for correct operation. Typical: access enforcement, authentication, audit logging, encryption and malicious code protection]</w:t>
      </w:r>
      <w:r>
        <w:t xml:space="preserve">. (SI-6a)</w:t>
      </w:r>
    </w:p>
    <w:p>
      <w:pPr>
        <w:pStyle w:val="Compact"/>
        <w:numPr>
          <w:ilvl w:val="0"/>
          <w:numId w:val="1022"/>
        </w:numPr>
      </w:pPr>
      <w:r>
        <w:t xml:space="preserve">The</w:t>
      </w:r>
      <w:r>
        <w:t xml:space="preserve"> </w:t>
      </w:r>
      <w:r>
        <w:rPr>
          <w:rStyle w:val="Fill-in"/>
        </w:rPr>
        <w:t xml:space="preserve">[System owner]</w:t>
      </w:r>
      <w:r>
        <w:t xml:space="preserve"> </w:t>
      </w:r>
      <w:r>
        <w:t xml:space="preserve">shall verify the correct operation of the following privacy functions:</w:t>
      </w:r>
      <w:r>
        <w:t xml:space="preserve"> </w:t>
      </w:r>
      <w:r>
        <w:rPr>
          <w:rStyle w:val="Fill-in"/>
        </w:rPr>
        <w:t xml:space="preserve">[Fill in: privacy functions to be verified for correct operation. Typical: consent recording, de-identification and the scheduled deletion of personally identifiable information]</w:t>
      </w:r>
      <w:r>
        <w:t xml:space="preserve">. (SI-6a)</w:t>
      </w:r>
    </w:p>
    <w:p>
      <w:pPr>
        <w:pStyle w:val="Compact"/>
        <w:numPr>
          <w:ilvl w:val="0"/>
          <w:numId w:val="1022"/>
        </w:numPr>
      </w:pPr>
      <w:r>
        <w:t xml:space="preserve">The</w:t>
      </w:r>
      <w:r>
        <w:t xml:space="preserve"> </w:t>
      </w:r>
      <w:r>
        <w:rPr>
          <w:rStyle w:val="Fill-in"/>
        </w:rPr>
        <w:t xml:space="preserve">[System owner]</w:t>
      </w:r>
      <w:r>
        <w:t xml:space="preserve"> </w:t>
      </w:r>
      <w:r>
        <w:t xml:space="preserve">shall perform the verification</w:t>
      </w:r>
      <w:r>
        <w:t xml:space="preserve"> </w:t>
      </w:r>
      <w:r>
        <w:rPr>
          <w:rStyle w:val="Fill-in"/>
        </w:rPr>
        <w:t xml:space="preserve">[Select one or more: [Assignment: organization-defined system transitional states]; upon command by user with appropriate privilege; [Assignment: organization-defined frequency]. Typical: at system startup and restart, upon command by a user with appropriate privilege, and at least monthly]</w:t>
      </w:r>
      <w:r>
        <w:t xml:space="preserve">. (SI-6b)</w:t>
      </w:r>
    </w:p>
    <w:p>
      <w:pPr>
        <w:pStyle w:val="Compact"/>
        <w:numPr>
          <w:ilvl w:val="0"/>
          <w:numId w:val="1022"/>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of failed security and privacy verification tests. Typical: the system owner and the security operations team]</w:t>
      </w:r>
      <w:r>
        <w:t xml:space="preserve"> </w:t>
      </w:r>
      <w:r>
        <w:t xml:space="preserve">are alerted to failed security and privacy verification tests. (SI-6c)</w:t>
      </w:r>
    </w:p>
    <w:p>
      <w:pPr>
        <w:pStyle w:val="Compact"/>
        <w:numPr>
          <w:ilvl w:val="0"/>
          <w:numId w:val="1022"/>
        </w:numPr>
      </w:pPr>
      <w:r>
        <w:t xml:space="preserve">When anomalies are discovered, the</w:t>
      </w:r>
      <w:r>
        <w:t xml:space="preserve"> </w:t>
      </w:r>
      <w:r>
        <w:rPr>
          <w:rStyle w:val="Fill-in"/>
        </w:rPr>
        <w:t xml:space="preserve">[System owner]</w:t>
      </w:r>
      <w:r>
        <w:t xml:space="preserve"> </w:t>
      </w:r>
      <w:r>
        <w:t xml:space="preserve">shall</w:t>
      </w:r>
      <w:r>
        <w:t xml:space="preserve"> </w:t>
      </w:r>
      <w:r>
        <w:rPr>
          <w:rStyle w:val="Fill-in"/>
        </w:rPr>
        <w:t xml:space="preserve">[Select one or more: shut the system down; restart the system; [Assignment: organization-defined alternative action(s)]. Typical: isolate the affected component and open an incident]</w:t>
      </w:r>
      <w:r>
        <w:t xml:space="preserve">. (SI-6d)</w:t>
      </w:r>
    </w:p>
    <w:bookmarkEnd w:id="45"/>
    <w:bookmarkStart w:id="46" w:name="X95965c3e89e2825030f93836cb8588d2d9c6c61"/>
    <w:p>
      <w:pPr>
        <w:pStyle w:val="Heading3"/>
      </w:pPr>
      <w:r>
        <w:t xml:space="preserve">Software, firmware and information integrity (SI-7)</w:t>
      </w:r>
    </w:p>
    <w:p>
      <w:pPr>
        <w:pStyle w:val="Guidance"/>
      </w:pPr>
      <w:r>
        <w:t xml:space="preserve">File integrity monitoring, signed and verified container images, secure boot and measured boot are the usual integrity verification tools. Changes approved under CM-3 are expected; integrity verification finds the ones that were not.</w:t>
      </w:r>
    </w:p>
    <w:p>
      <w:pPr>
        <w:pStyle w:val="Compact"/>
        <w:numPr>
          <w:ilvl w:val="0"/>
          <w:numId w:val="1023"/>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software:</w:t>
      </w:r>
      <w:r>
        <w:t xml:space="preserve"> </w:t>
      </w:r>
      <w:r>
        <w:rPr>
          <w:rStyle w:val="Fill-in"/>
        </w:rPr>
        <w:t xml:space="preserve">[Fill in: software requiring integrity verification tools to be employed to detect unauthorized changes. Typical: operating system files, installed applications, container images and security tool binaries]</w:t>
      </w:r>
      <w:r>
        <w:t xml:space="preserve">. (SI-7a)</w:t>
      </w:r>
    </w:p>
    <w:p>
      <w:pPr>
        <w:pStyle w:val="Compact"/>
        <w:numPr>
          <w:ilvl w:val="0"/>
          <w:numId w:val="1023"/>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firmware:</w:t>
      </w:r>
      <w:r>
        <w:t xml:space="preserve"> </w:t>
      </w:r>
      <w:r>
        <w:rPr>
          <w:rStyle w:val="Fill-in"/>
        </w:rPr>
        <w:t xml:space="preserve">[Fill in: firmware requiring integrity verification tools to be employed to detect unauthorized changes. Typical: server, network device and endpoint firmware and boot components, where the platform supports verification]</w:t>
      </w:r>
      <w:r>
        <w:t xml:space="preserve">. (SI-7a)</w:t>
      </w:r>
    </w:p>
    <w:p>
      <w:pPr>
        <w:pStyle w:val="Compact"/>
        <w:numPr>
          <w:ilvl w:val="0"/>
          <w:numId w:val="1023"/>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information:</w:t>
      </w:r>
      <w:r>
        <w:t xml:space="preserve"> </w:t>
      </w:r>
      <w:r>
        <w:rPr>
          <w:rStyle w:val="Fill-in"/>
        </w:rPr>
        <w:t xml:space="preserve">[Fill in: information requiring integrity verification tools to be employed to detect unauthorized changes. Typical: security configuration files, audit logs, and the critical data stores named in the system security plan]</w:t>
      </w:r>
      <w:r>
        <w:t xml:space="preserve">. (SI-7a)</w:t>
      </w:r>
    </w:p>
    <w:p>
      <w:pPr>
        <w:pStyle w:val="Compact"/>
        <w:numPr>
          <w:ilvl w:val="0"/>
          <w:numId w:val="1023"/>
        </w:numPr>
      </w:pPr>
      <w:r>
        <w:t xml:space="preserve">When unauthorized changes to software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software are detected. Typical: alert the security operations team, restore the approved version, and handle an unauthorized change as a suspected incident]</w:t>
      </w:r>
      <w:r>
        <w:t xml:space="preserve">. (SI-7b)</w:t>
      </w:r>
    </w:p>
    <w:p>
      <w:pPr>
        <w:pStyle w:val="Compact"/>
        <w:numPr>
          <w:ilvl w:val="0"/>
          <w:numId w:val="1023"/>
        </w:numPr>
      </w:pPr>
      <w:r>
        <w:t xml:space="preserve">When unauthorized changes to firmware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firmware are detected. Typical: alert the security operations team, restore the approved firmware, and handle an unauthorized change as a suspected incident]</w:t>
      </w:r>
      <w:r>
        <w:t xml:space="preserve">. (SI-7b)</w:t>
      </w:r>
    </w:p>
    <w:p>
      <w:pPr>
        <w:pStyle w:val="Compact"/>
        <w:numPr>
          <w:ilvl w:val="0"/>
          <w:numId w:val="1023"/>
        </w:numPr>
      </w:pPr>
      <w:r>
        <w:t xml:space="preserve">When unauthorized changes to information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information are detected. Typical: alert the security operations team and the information owner, restore the information from a trusted source or backup, and handle an unauthorized change as a suspected incident]</w:t>
      </w:r>
      <w:r>
        <w:t xml:space="preserve">. (SI-7b)</w:t>
      </w:r>
    </w:p>
    <w:bookmarkEnd w:id="46"/>
    <w:bookmarkStart w:id="47" w:name="integrity-checks-si-71"/>
    <w:p>
      <w:pPr>
        <w:pStyle w:val="Heading3"/>
      </w:pPr>
      <w:r>
        <w:t xml:space="preserve">Integrity checks (SI-7(1))</w:t>
      </w:r>
    </w:p>
    <w:p>
      <w:pPr>
        <w:pStyle w:val="Compact"/>
        <w:numPr>
          <w:ilvl w:val="0"/>
          <w:numId w:val="1024"/>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software on which an integrity check is to be performed. Typical: the software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update or change to the software, and at least weekly]</w:t>
      </w:r>
      <w:r>
        <w:t xml:space="preserve">. (SI-7(1))</w:t>
      </w:r>
    </w:p>
    <w:p>
      <w:pPr>
        <w:pStyle w:val="Compact"/>
        <w:numPr>
          <w:ilvl w:val="0"/>
          <w:numId w:val="1024"/>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firmware on which an integrity check is to be performed. Typical: the firmware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firmware update, and at least monthly]</w:t>
      </w:r>
      <w:r>
        <w:t xml:space="preserve">. (SI-7(1))</w:t>
      </w:r>
    </w:p>
    <w:p>
      <w:pPr>
        <w:pStyle w:val="Compact"/>
        <w:numPr>
          <w:ilvl w:val="0"/>
          <w:numId w:val="1024"/>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information on which an integrity check is to be performed. Typical: the information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after each authorized change to the information, and at least daily]</w:t>
      </w:r>
      <w:r>
        <w:t xml:space="preserve">. (SI-7(1))</w:t>
      </w:r>
    </w:p>
    <w:bookmarkEnd w:id="47"/>
    <w:bookmarkStart w:id="48" w:name="X7ecb6bc8562e06bb20c9ea1ee9e551e6c4147f4"/>
    <w:p>
      <w:pPr>
        <w:pStyle w:val="Heading3"/>
      </w:pPr>
      <w:r>
        <w:t xml:space="preserve">Automated notifications of integrity violations (SI-7(2))</w:t>
      </w:r>
    </w:p>
    <w:p>
      <w:pPr>
        <w:pStyle w:val="Compact"/>
        <w:numPr>
          <w:ilvl w:val="0"/>
          <w:numId w:val="1025"/>
        </w:numPr>
      </w:pPr>
      <w:r>
        <w:t xml:space="preserve">The</w:t>
      </w:r>
      <w:r>
        <w:t xml:space="preserve"> </w:t>
      </w:r>
      <w:r>
        <w:rPr>
          <w:rStyle w:val="Fill-in"/>
        </w:rPr>
        <w:t xml:space="preserve">[System owner]</w:t>
      </w:r>
      <w:r>
        <w:t xml:space="preserve"> </w:t>
      </w:r>
      <w:r>
        <w:t xml:space="preserve">shall employ automated tools that notify</w:t>
      </w:r>
      <w:r>
        <w:t xml:space="preserve"> </w:t>
      </w:r>
      <w:r>
        <w:rPr>
          <w:rStyle w:val="Fill-in"/>
        </w:rPr>
        <w:t xml:space="preserve">[Fill in: personnel or roles to whom notification is to be provided upon discovering discrepancies during integrity verification. Typical: the security operations team and the system owner]</w:t>
      </w:r>
      <w:r>
        <w:t xml:space="preserve"> </w:t>
      </w:r>
      <w:r>
        <w:t xml:space="preserve">upon discovering discrepancies during integrity verification. (SI-7(2))</w:t>
      </w:r>
    </w:p>
    <w:bookmarkEnd w:id="48"/>
    <w:bookmarkStart w:id="49" w:name="Xeac1713e4145a6c1b01f9eb3f9d613bc5be49b4"/>
    <w:p>
      <w:pPr>
        <w:pStyle w:val="Heading3"/>
      </w:pPr>
      <w:r>
        <w:t xml:space="preserve">Automated response to integrity violations (SI-7(5))</w:t>
      </w:r>
    </w:p>
    <w:p>
      <w:pPr>
        <w:pStyle w:val="Compact"/>
        <w:numPr>
          <w:ilvl w:val="0"/>
          <w:numId w:val="1026"/>
        </w:numPr>
      </w:pPr>
      <w:r>
        <w:t xml:space="preserve">When integrity violations are discovered, the</w:t>
      </w:r>
      <w:r>
        <w:t xml:space="preserve"> </w:t>
      </w:r>
      <w:r>
        <w:rPr>
          <w:rStyle w:val="Fill-in"/>
        </w:rPr>
        <w:t xml:space="preserve">[System owner]</w:t>
      </w:r>
      <w:r>
        <w:t xml:space="preserve"> </w:t>
      </w:r>
      <w:r>
        <w:t xml:space="preserve">shall ensure the system automatically takes the following action:</w:t>
      </w:r>
      <w:r>
        <w:t xml:space="preserve"> </w:t>
      </w:r>
      <w:r>
        <w:rPr>
          <w:rStyle w:val="Fill-in"/>
        </w:rPr>
        <w:t xml:space="preserve">[Select one or more: shut down the system; restart the system; implement [Assignment: organization-defined controls]. Typical: implement controls: block the changed component from running, isolate the affected host, and restore the approved version]</w:t>
      </w:r>
      <w:r>
        <w:t xml:space="preserve">. (SI-7(5))</w:t>
      </w:r>
    </w:p>
    <w:bookmarkEnd w:id="49"/>
    <w:bookmarkStart w:id="50" w:name="X2f1cd96a2cb86d3905abc869a6e0db23cd2262c"/>
    <w:p>
      <w:pPr>
        <w:pStyle w:val="Heading3"/>
      </w:pPr>
      <w:r>
        <w:t xml:space="preserve">Integration of detection and response (SI-7(7))</w:t>
      </w:r>
    </w:p>
    <w:p>
      <w:pPr>
        <w:pStyle w:val="Compact"/>
        <w:numPr>
          <w:ilvl w:val="0"/>
          <w:numId w:val="1027"/>
        </w:numPr>
      </w:pPr>
      <w:r>
        <w:t xml:space="preserve">The</w:t>
      </w:r>
      <w:r>
        <w:t xml:space="preserve"> </w:t>
      </w:r>
      <w:r>
        <w:rPr>
          <w:rStyle w:val="Fill-in"/>
        </w:rPr>
        <w:t xml:space="preserve">[System owner]</w:t>
      </w:r>
      <w:r>
        <w:t xml:space="preserve"> </w:t>
      </w:r>
      <w:r>
        <w:t xml:space="preserve">shall incorporate the detection of the following unauthorized changes into the organization’s incident response capability:</w:t>
      </w:r>
      <w:r>
        <w:t xml:space="preserve"> </w:t>
      </w:r>
      <w:r>
        <w:rPr>
          <w:rStyle w:val="Fill-in"/>
        </w:rPr>
        <w:t xml:space="preserve">[Fill in: security-relevant changes to the system. Typical: unauthorized changes to operating system and application files, security configuration settings, firmware and audit logging settings]</w:t>
      </w:r>
      <w:r>
        <w:t xml:space="preserve">. (SI-7(7))</w:t>
      </w:r>
    </w:p>
    <w:bookmarkEnd w:id="50"/>
    <w:bookmarkStart w:id="51" w:name="code-authentication-si-715"/>
    <w:p>
      <w:pPr>
        <w:pStyle w:val="Heading3"/>
      </w:pPr>
      <w:r>
        <w:t xml:space="preserve">Code authentication (SI-7(15))</w:t>
      </w:r>
    </w:p>
    <w:p>
      <w:pPr>
        <w:pStyle w:val="Guidance"/>
      </w:pPr>
      <w:r>
        <w:t xml:space="preserve">Code signing verified by the operating system, package manager or container admission controller is the usual mechanism. Keep the list of trusted signers short, and treat an unsigned or wrongly signed component as a failed installation.</w:t>
      </w:r>
    </w:p>
    <w:p>
      <w:pPr>
        <w:pStyle w:val="Compact"/>
        <w:numPr>
          <w:ilvl w:val="0"/>
          <w:numId w:val="1028"/>
        </w:numPr>
      </w:pPr>
      <w:r>
        <w:t xml:space="preserve">The</w:t>
      </w:r>
      <w:r>
        <w:t xml:space="preserve"> </w:t>
      </w:r>
      <w:r>
        <w:rPr>
          <w:rStyle w:val="Fill-in"/>
        </w:rPr>
        <w:t xml:space="preserve">[System owner]</w:t>
      </w:r>
      <w:r>
        <w:t xml:space="preserve"> </w:t>
      </w:r>
      <w:r>
        <w:t xml:space="preserve">shall implement cryptographic mechanisms to authenticate the following software and firmware components before installation:</w:t>
      </w:r>
      <w:r>
        <w:t xml:space="preserve"> </w:t>
      </w:r>
      <w:r>
        <w:rPr>
          <w:rStyle w:val="Fill-in"/>
        </w:rPr>
        <w:t xml:space="preserve">[Fill in: software or firmware components to be authenticated by cryptographic mechanisms prior to installation. Typical: operating system and application updates, firmware updates, drivers and container images]</w:t>
      </w:r>
      <w:r>
        <w:t xml:space="preserve">. (SI-7(15))</w:t>
      </w:r>
    </w:p>
    <w:bookmarkEnd w:id="51"/>
    <w:bookmarkStart w:id="54" w:name="spam-protection-si-8"/>
    <w:p>
      <w:pPr>
        <w:pStyle w:val="Heading3"/>
      </w:pPr>
      <w:r>
        <w:t xml:space="preserve">Spam protection (SI-8)</w:t>
      </w:r>
    </w:p>
    <w:p>
      <w:pPr>
        <w:pStyle w:val="Guidance"/>
      </w:pPr>
      <w:r>
        <w:t xml:space="preserve">Spam protection sits in the email gateway or the cloud email service’s filtering, and in some cases in web or messaging gateways. Publishing SPF, DKIM and DMARC records for the organization’s own domains helps other organizations reject mail that spoofs them.</w:t>
      </w:r>
    </w:p>
    <w:p>
      <w:pPr>
        <w:pStyle w:val="Compact"/>
        <w:numPr>
          <w:ilvl w:val="0"/>
          <w:numId w:val="1029"/>
        </w:numPr>
      </w:pPr>
      <w:r>
        <w:t xml:space="preserve">The</w:t>
      </w:r>
      <w:r>
        <w:t xml:space="preserve"> </w:t>
      </w:r>
      <w:r>
        <w:rPr>
          <w:rStyle w:val="Fill-in"/>
        </w:rPr>
        <w:t xml:space="preserve">[System owner]</w:t>
      </w:r>
      <w:r>
        <w:t xml:space="preserve"> </w:t>
      </w:r>
      <w:r>
        <w:t xml:space="preserve">shall employ spam protection mechanisms at system entry and exit points to detect and act on unsolicited messages. (SI-8a)</w:t>
      </w:r>
    </w:p>
    <w:p>
      <w:pPr>
        <w:pStyle w:val="Compact"/>
        <w:numPr>
          <w:ilvl w:val="0"/>
          <w:numId w:val="1029"/>
        </w:numPr>
      </w:pPr>
      <w:r>
        <w:t xml:space="preserve">The</w:t>
      </w:r>
      <w:r>
        <w:t xml:space="preserve"> </w:t>
      </w:r>
      <w:r>
        <w:rPr>
          <w:rStyle w:val="Fill-in"/>
        </w:rPr>
        <w:t xml:space="preserve">[System owner]</w:t>
      </w:r>
      <w:r>
        <w:t xml:space="preserve"> </w:t>
      </w:r>
      <w:r>
        <w:t xml:space="preserve">shall update spam protection mechanisms when new releases are available, in accordance with the organization’s configuration management policy and procedures. (SI-8b)</w:t>
      </w:r>
    </w:p>
    <w:bookmarkStart w:id="53" w:name="federal-systems-4"/>
    <w:p>
      <w:pPr>
        <w:pStyle w:val="Heading4"/>
      </w:pPr>
      <w:r>
        <w:t xml:space="preserve">Federal systems</w:t>
      </w:r>
    </w:p>
    <w:p>
      <w:pPr>
        <w:pStyle w:val="FirstParagraph"/>
      </w:pPr>
      <w:r>
        <w:t xml:space="preserve">CISA</w:t>
      </w:r>
      <w:r>
        <w:t xml:space="preserve"> </w:t>
      </w:r>
      <w:hyperlink r:id="rId52">
        <w:r>
          <w:rPr>
            <w:rStyle w:val="Hyperlink"/>
          </w:rPr>
          <w:t xml:space="preserve">BOD 18-01</w:t>
        </w:r>
      </w:hyperlink>
      <w:r>
        <w:t xml:space="preserve">, Enhance Email and Web Security (October 16, 2017), requires federal civilian agencies to have valid SPF and DMARC records for all second-level agency domains, to set a DMARC policy of</w:t>
      </w:r>
      <w:r>
        <w:t xml:space="preserve"> </w:t>
      </w:r>
      <w:r>
        <w:t xml:space="preserve">“reject”</w:t>
      </w:r>
      <w:r>
        <w:t xml:space="preserve"> </w:t>
      </w:r>
      <w:r>
        <w:t xml:space="preserve">for all second-level domains and mail-sending hosts, and to add the address the directive designates (</w:t>
      </w:r>
      <w:r>
        <w:rPr>
          <w:rStyle w:val="VerbatimChar"/>
        </w:rPr>
        <w:t xml:space="preserve">reports@dmarc.cyber.dhs.gov</w:t>
      </w:r>
      <w:r>
        <w:t xml:space="preserve">) as a recipient of DMARC aggregate reports. As of September 2026.</w:t>
      </w:r>
    </w:p>
    <w:p>
      <w:pPr>
        <w:pStyle w:val="Compact"/>
        <w:numPr>
          <w:ilvl w:val="0"/>
          <w:numId w:val="1030"/>
        </w:numPr>
      </w:pPr>
      <w:r>
        <w:t xml:space="preserve">The</w:t>
      </w:r>
      <w:r>
        <w:t xml:space="preserve"> </w:t>
      </w:r>
      <w:r>
        <w:rPr>
          <w:rStyle w:val="Fill-in"/>
        </w:rPr>
        <w:t xml:space="preserve">[System owner]</w:t>
      </w:r>
      <w:r>
        <w:t xml:space="preserve"> </w:t>
      </w:r>
      <w:r>
        <w:t xml:space="preserve">shall ensure each second-level domain the system uses has valid SPF and DMARC records, with a DMARC policy of reject for the domain and its mail-sending hosts, as CISA BOD 18-01 requires. (SI-8a)</w:t>
      </w:r>
    </w:p>
    <w:p>
      <w:pPr>
        <w:pStyle w:val="Compact"/>
        <w:numPr>
          <w:ilvl w:val="0"/>
          <w:numId w:val="1030"/>
        </w:numPr>
      </w:pPr>
      <w:r>
        <w:t xml:space="preserve">The</w:t>
      </w:r>
      <w:r>
        <w:t xml:space="preserve"> </w:t>
      </w:r>
      <w:r>
        <w:rPr>
          <w:rStyle w:val="Fill-in"/>
        </w:rPr>
        <w:t xml:space="preserve">[System owner]</w:t>
      </w:r>
      <w:r>
        <w:t xml:space="preserve"> </w:t>
      </w:r>
      <w:r>
        <w:t xml:space="preserve">shall include</w:t>
      </w:r>
      <w:r>
        <w:t xml:space="preserve"> </w:t>
      </w:r>
      <w:r>
        <w:rPr>
          <w:rStyle w:val="VerbatimChar"/>
        </w:rPr>
        <w:t xml:space="preserve">reports@dmarc.cyber.dhs.gov</w:t>
      </w:r>
      <w:r>
        <w:t xml:space="preserve"> </w:t>
      </w:r>
      <w:r>
        <w:t xml:space="preserve">as a recipient of the domain’s DMARC aggregate reports, as CISA BOD 18-01 requires. (SI-8a)</w:t>
      </w:r>
    </w:p>
    <w:bookmarkEnd w:id="53"/>
    <w:bookmarkEnd w:id="54"/>
    <w:bookmarkStart w:id="55" w:name="automatic-updates-si-82"/>
    <w:p>
      <w:pPr>
        <w:pStyle w:val="Heading3"/>
      </w:pPr>
      <w:r>
        <w:t xml:space="preserve">Automatic updates (SI-8(2))</w:t>
      </w:r>
    </w:p>
    <w:p>
      <w:pPr>
        <w:pStyle w:val="Compact"/>
        <w:numPr>
          <w:ilvl w:val="0"/>
          <w:numId w:val="1031"/>
        </w:numPr>
      </w:pPr>
      <w:r>
        <w:t xml:space="preserve">The</w:t>
      </w:r>
      <w:r>
        <w:t xml:space="preserve"> </w:t>
      </w:r>
      <w:r>
        <w:rPr>
          <w:rStyle w:val="Fill-in"/>
        </w:rPr>
        <w:t xml:space="preserve">[System owner]</w:t>
      </w:r>
      <w:r>
        <w:t xml:space="preserve"> </w:t>
      </w:r>
      <w:r>
        <w:t xml:space="preserve">shall ensure spam protection mechanisms are updated automatically</w:t>
      </w:r>
      <w:r>
        <w:t xml:space="preserve"> </w:t>
      </w:r>
      <w:r>
        <w:rPr>
          <w:rStyle w:val="Fill-in"/>
        </w:rPr>
        <w:t xml:space="preserve">[Fill in: the frequency at which to automatically update spam protection mechanisms. Typical: as the vendor releases updates, and at least daily]</w:t>
      </w:r>
      <w:r>
        <w:t xml:space="preserve">. (SI-8(2))</w:t>
      </w:r>
    </w:p>
    <w:bookmarkEnd w:id="55"/>
    <w:bookmarkStart w:id="56" w:name="information-input-validation-si-10"/>
    <w:p>
      <w:pPr>
        <w:pStyle w:val="Heading3"/>
      </w:pPr>
      <w:r>
        <w:t xml:space="preserve">Information input validation (SI-10)</w:t>
      </w:r>
    </w:p>
    <w:p>
      <w:pPr>
        <w:pStyle w:val="Guidance"/>
      </w:pPr>
      <w:r>
        <w:t xml:space="preserve">Validate on the server, against an allow list of expected type, length, format and range, and keep data separate from commands (for example, parameterized database queries). Code review and application security testing (SA-11) are where assessors look for evidence.</w:t>
      </w:r>
    </w:p>
    <w:p>
      <w:pPr>
        <w:pStyle w:val="Compact"/>
        <w:numPr>
          <w:ilvl w:val="0"/>
          <w:numId w:val="1032"/>
        </w:numPr>
      </w:pPr>
      <w:r>
        <w:t xml:space="preserve">The</w:t>
      </w:r>
      <w:r>
        <w:t xml:space="preserve"> </w:t>
      </w:r>
      <w:r>
        <w:rPr>
          <w:rStyle w:val="Fill-in"/>
        </w:rPr>
        <w:t xml:space="preserve">[System owner]</w:t>
      </w:r>
      <w:r>
        <w:t xml:space="preserve"> </w:t>
      </w:r>
      <w:r>
        <w:t xml:space="preserve">shall ensure the system checks the validity of</w:t>
      </w:r>
      <w:r>
        <w:t xml:space="preserve"> </w:t>
      </w:r>
      <w:r>
        <w:rPr>
          <w:rStyle w:val="Fill-in"/>
        </w:rPr>
        <w:t xml:space="preserve">[Fill in: information inputs to the system requiring validity checks. Typical: all inputs from users, external systems and interfaces, including web forms, API requests, file uploads and query parameters]</w:t>
      </w:r>
      <w:r>
        <w:t xml:space="preserve">. (SI-10)</w:t>
      </w:r>
    </w:p>
    <w:bookmarkEnd w:id="56"/>
    <w:bookmarkStart w:id="57" w:name="error-handling-si-11"/>
    <w:p>
      <w:pPr>
        <w:pStyle w:val="Heading3"/>
      </w:pPr>
      <w:r>
        <w:t xml:space="preserve">Error handling (SI-11)</w:t>
      </w:r>
    </w:p>
    <w:p>
      <w:pPr>
        <w:pStyle w:val="Guidance"/>
      </w:pPr>
      <w:r>
        <w:t xml:space="preserve">Users see a short message and a reference number; the detail, such as stack traces, database errors and internal paths, goes to the logs. Login and password reset messages should not reveal whether an account exists.</w:t>
      </w:r>
    </w:p>
    <w:p>
      <w:pPr>
        <w:pStyle w:val="Compact"/>
        <w:numPr>
          <w:ilvl w:val="0"/>
          <w:numId w:val="1033"/>
        </w:numPr>
      </w:pPr>
      <w:r>
        <w:t xml:space="preserve">The</w:t>
      </w:r>
      <w:r>
        <w:t xml:space="preserve"> </w:t>
      </w:r>
      <w:r>
        <w:rPr>
          <w:rStyle w:val="Fill-in"/>
        </w:rPr>
        <w:t xml:space="preserve">[System owner]</w:t>
      </w:r>
      <w:r>
        <w:t xml:space="preserve"> </w:t>
      </w:r>
      <w:r>
        <w:t xml:space="preserve">shall ensure the system generates error messages that provide the information needed for corrective action without revealing information that could be exploited. (SI-11a)</w:t>
      </w:r>
    </w:p>
    <w:p>
      <w:pPr>
        <w:pStyle w:val="Compact"/>
        <w:numPr>
          <w:ilvl w:val="0"/>
          <w:numId w:val="1033"/>
        </w:numPr>
      </w:pPr>
      <w:r>
        <w:t xml:space="preserve">The</w:t>
      </w:r>
      <w:r>
        <w:t xml:space="preserve"> </w:t>
      </w:r>
      <w:r>
        <w:rPr>
          <w:rStyle w:val="Fill-in"/>
        </w:rPr>
        <w:t xml:space="preserve">[System owner]</w:t>
      </w:r>
      <w:r>
        <w:t xml:space="preserve"> </w:t>
      </w:r>
      <w:r>
        <w:t xml:space="preserve">shall ensure the system reveals detailed error messages only to</w:t>
      </w:r>
      <w:r>
        <w:t xml:space="preserve"> </w:t>
      </w:r>
      <w:r>
        <w:rPr>
          <w:rStyle w:val="Fill-in"/>
        </w:rPr>
        <w:t xml:space="preserve">[Fill in: personnel or roles to whom error messages are to be revealed. Typical: system administrators and developers with a need to know, through the system’s logs]</w:t>
      </w:r>
      <w:r>
        <w:t xml:space="preserve">. (SI-11b)</w:t>
      </w:r>
    </w:p>
    <w:bookmarkEnd w:id="57"/>
    <w:bookmarkStart w:id="62" w:name="Xff109d2c993c4421f257522c86596c85b62962b"/>
    <w:p>
      <w:pPr>
        <w:pStyle w:val="Heading3"/>
      </w:pPr>
      <w:r>
        <w:t xml:space="preserve">Information management and retention (SI-12)</w:t>
      </w:r>
    </w:p>
    <w:p>
      <w:pPr>
        <w:pStyle w:val="Guidance"/>
      </w:pPr>
      <w:r>
        <w:t xml:space="preserve">Retention applies to everything the system holds or produces: records, logs, backups, reports and exports. Records management usually owns the retention schedule; the system owner makes the system follow it, including deletion at the end of the period. For personally identifiable information, the retention periods also go in the privacy impact assessment.</w:t>
      </w:r>
    </w:p>
    <w:p>
      <w:pPr>
        <w:pStyle w:val="Compact"/>
        <w:numPr>
          <w:ilvl w:val="0"/>
          <w:numId w:val="1034"/>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034"/>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034"/>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61" w:name="federal-systems-5"/>
    <w:p>
      <w:pPr>
        <w:pStyle w:val="Heading4"/>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58">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59">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60">
        <w:r>
          <w:rPr>
            <w:rStyle w:val="Hyperlink"/>
          </w:rPr>
          <w:t xml:space="preserve">44 U.S.C. § 3303a(d)</w:t>
        </w:r>
      </w:hyperlink>
      <w:r>
        <w:t xml:space="preserve">). As of September 2026.</w:t>
      </w:r>
    </w:p>
    <w:p>
      <w:pPr>
        <w:pStyle w:val="Compact"/>
        <w:numPr>
          <w:ilvl w:val="0"/>
          <w:numId w:val="1035"/>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61"/>
    <w:bookmarkEnd w:id="62"/>
    <w:bookmarkStart w:id="63" w:name="memory-protection-si-16"/>
    <w:p>
      <w:pPr>
        <w:pStyle w:val="Heading3"/>
      </w:pPr>
      <w:r>
        <w:t xml:space="preserve">Memory protection (SI-16)</w:t>
      </w:r>
    </w:p>
    <w:p>
      <w:pPr>
        <w:pStyle w:val="Guidance"/>
      </w:pPr>
      <w:r>
        <w:t xml:space="preserve">Modern operating systems provide these protections by default; the evidence is a configuration baseline (CM-6) that keeps them enabled and a scan that shows no exceptions.</w:t>
      </w:r>
    </w:p>
    <w:p>
      <w:pPr>
        <w:pStyle w:val="Compact"/>
        <w:numPr>
          <w:ilvl w:val="0"/>
          <w:numId w:val="1036"/>
        </w:numPr>
      </w:pPr>
      <w:r>
        <w:t xml:space="preserve">The</w:t>
      </w:r>
      <w:r>
        <w:t xml:space="preserve"> </w:t>
      </w:r>
      <w:r>
        <w:rPr>
          <w:rStyle w:val="Fill-in"/>
        </w:rPr>
        <w:t xml:space="preserve">[System owner]</w:t>
      </w:r>
      <w:r>
        <w:t xml:space="preserve"> </w:t>
      </w:r>
      <w:r>
        <w:t xml:space="preserve">shall implement the following controls to protect the system memory from unauthorized code execution:</w:t>
      </w:r>
      <w:r>
        <w:t xml:space="preserve"> </w:t>
      </w:r>
      <w:r>
        <w:rPr>
          <w:rStyle w:val="Fill-in"/>
        </w:rPr>
        <w:t xml:space="preserve">[Fill in: controls to be implemented to protect the system memory from unauthorized code execution. Typical: data execution prevention and address space layout randomization, enforced by the operating system and hardware]</w:t>
      </w:r>
      <w:r>
        <w:t xml:space="preserve">. (SI-16)</w:t>
      </w:r>
    </w:p>
    <w:bookmarkEnd w:id="63"/>
    <w:bookmarkEnd w:id="64"/>
    <w:bookmarkStart w:id="67" w:name="review-and-update"/>
    <w:p>
      <w:pPr>
        <w:pStyle w:val="Heading2"/>
      </w:pPr>
      <w:r>
        <w:t xml:space="preserve">Review and update</w:t>
      </w:r>
    </w:p>
    <w:p>
      <w:pPr>
        <w:pStyle w:val="Compact"/>
        <w:numPr>
          <w:ilvl w:val="0"/>
          <w:numId w:val="1037"/>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information integrity policy is reviewed and updated. Typical: annually]</w:t>
      </w:r>
      <w:r>
        <w:t xml:space="preserve"> </w:t>
      </w:r>
      <w:r>
        <w:t xml:space="preserve">and following</w:t>
      </w:r>
      <w:r>
        <w:t xml:space="preserve"> </w:t>
      </w:r>
      <w:r>
        <w:rPr>
          <w:rStyle w:val="Fill-in"/>
        </w:rPr>
        <w:t xml:space="preserve">[Fill in: events that would require the current system and information integrity policy to be reviewed and updated. Typical: assessment or audit findings, security incidents or breaches, and changes in applicable laws, executive orders, directives, regulations, policies, standards or guidelines]</w:t>
      </w:r>
      <w:r>
        <w:t xml:space="preserve">. (SI-1c.1)</w:t>
      </w:r>
    </w:p>
    <w:p>
      <w:pPr>
        <w:pStyle w:val="Compact"/>
        <w:numPr>
          <w:ilvl w:val="0"/>
          <w:numId w:val="1037"/>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information integrity procedures are reviewed and updated. Typical: annually]</w:t>
      </w:r>
      <w:r>
        <w:t xml:space="preserve"> </w:t>
      </w:r>
      <w:r>
        <w:t xml:space="preserve">and following</w:t>
      </w:r>
      <w:r>
        <w:t xml:space="preserve"> </w:t>
      </w:r>
      <w:r>
        <w:rPr>
          <w:rStyle w:val="Fill-in"/>
        </w:rPr>
        <w:t xml:space="preserve">[Fill in: events that would require the system and information integrity procedures to be reviewed and updated. Typical: the same events as the policy, and changes to the systems, tools or services the procedures describe]</w:t>
      </w:r>
      <w:r>
        <w:t xml:space="preserve">. (SI-1c.2)</w:t>
      </w:r>
    </w:p>
    <w:bookmarkStart w:id="66" w:name="federal-systems-6"/>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0">
        <w:r>
          <w:rPr>
            <w:rStyle w:val="Hyperlink"/>
          </w:rPr>
          <w:t xml:space="preserve">44 U.S.C. § 3554</w:t>
        </w:r>
      </w:hyperlink>
      <w:r>
        <w:t xml:space="preserve">, Federal agency responsibilities) and</w:t>
      </w:r>
      <w:r>
        <w:t xml:space="preserve"> </w:t>
      </w:r>
      <w:hyperlink r:id="rId65">
        <w:r>
          <w:rPr>
            <w:rStyle w:val="Hyperlink"/>
          </w:rPr>
          <w:t xml:space="preserve">OMB Circular A-130</w:t>
        </w:r>
      </w:hyperlink>
      <w:r>
        <w:t xml:space="preserve">, Appendix I, Responsibilities for Protecting and Managing Federal Information Resources.</w:t>
      </w:r>
    </w:p>
    <w:p>
      <w:pPr>
        <w:pStyle w:val="Compact"/>
        <w:numPr>
          <w:ilvl w:val="0"/>
          <w:numId w:val="1038"/>
        </w:numPr>
      </w:pPr>
      <w:r>
        <w:t xml:space="preserve">Where the agency’s organization-wide policy sets a value for a parameter in this policy, each system shall use that value or a stricter one. (SI-1a.1(b))</w:t>
      </w:r>
    </w:p>
    <w:bookmarkEnd w:id="66"/>
    <w:bookmarkEnd w:id="67"/>
    <w:bookmarkEnd w:id="6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Information Integrity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19" Target="https://kston83.github.io/nist-guide/templates/standards/patch-and-flaw-remediation-standard/" TargetMode="External" /><Relationship Type="http://schemas.openxmlformats.org/officeDocument/2006/relationships/hyperlink" Id="rId27" Target="https://kston83.github.io/nist-guide/templates/standards/system-monitoring-standard/" TargetMode="External" /><Relationship Type="http://schemas.openxmlformats.org/officeDocument/2006/relationships/hyperlink" Id="rId58" Target="https://uscode.house.gov/view.xhtml?req=granuleid:USC-prelim-title44-section3101&amp;num=0&amp;edition=prelim" TargetMode="External" /><Relationship Type="http://schemas.openxmlformats.org/officeDocument/2006/relationships/hyperlink" Id="rId60" Target="https://uscode.house.gov/view.xhtml?req=granuleid:USC-prelim-title44-section3303a&amp;num=0&amp;edition=prelim" TargetMode="External" /><Relationship Type="http://schemas.openxmlformats.org/officeDocument/2006/relationships/hyperlink" Id="rId59" Target="https://uscode.house.gov/view.xhtml?req=granuleid:USC-prelim-title44-section3314&amp;num=0&amp;edition=prelim"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41" Target="https://www.cisa.gov/directives" TargetMode="External" /><Relationship Type="http://schemas.openxmlformats.org/officeDocument/2006/relationships/hyperlink" Id="rId52" Target="https://www.cisa.gov/news-events/directives/bod-18-01-enhance-email-and-web-security" TargetMode="External" /><Relationship Type="http://schemas.openxmlformats.org/officeDocument/2006/relationships/hyperlink" Id="rId23" Target="https://www.cisa.gov/news-events/directives/bod-23-01-improving-asset-visibility-and-vulnerability-detection-federal-networks" TargetMode="External" /><Relationship Type="http://schemas.openxmlformats.org/officeDocument/2006/relationships/hyperlink" Id="rId20" Target="https://www.cisa.gov/news-events/directives/bod-26-04-prioritizing-security-updates-based-risk" TargetMode="External" /><Relationship Type="http://schemas.openxmlformats.org/officeDocument/2006/relationships/hyperlink" Id="rId29" Target="https://www.cisa.gov/resources-tools/resources/logging-reference-architecture" TargetMode="External" /><Relationship Type="http://schemas.openxmlformats.org/officeDocument/2006/relationships/hyperlink" Id="rId28" Target="https://www.whitehouse.gov/wp-content/uploads/2026/05/M-26-14-Ensuring-Effective-and-Efficient-Agency-Logging-and-Network-Visibility-to-Defend-Against-Evolving-Cyber-Threats.pdf" TargetMode="External" /><Relationship Type="http://schemas.openxmlformats.org/officeDocument/2006/relationships/hyperlink" Id="rId6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19" Target="https://kston83.github.io/nist-guide/templates/standards/patch-and-flaw-remediation-standard/" TargetMode="External" /><Relationship Type="http://schemas.openxmlformats.org/officeDocument/2006/relationships/hyperlink" Id="rId27" Target="https://kston83.github.io/nist-guide/templates/standards/system-monitoring-standard/" TargetMode="External" /><Relationship Type="http://schemas.openxmlformats.org/officeDocument/2006/relationships/hyperlink" Id="rId58" Target="https://uscode.house.gov/view.xhtml?req=granuleid:USC-prelim-title44-section3101&amp;num=0&amp;edition=prelim" TargetMode="External" /><Relationship Type="http://schemas.openxmlformats.org/officeDocument/2006/relationships/hyperlink" Id="rId60" Target="https://uscode.house.gov/view.xhtml?req=granuleid:USC-prelim-title44-section3303a&amp;num=0&amp;edition=prelim" TargetMode="External" /><Relationship Type="http://schemas.openxmlformats.org/officeDocument/2006/relationships/hyperlink" Id="rId59" Target="https://uscode.house.gov/view.xhtml?req=granuleid:USC-prelim-title44-section3314&amp;num=0&amp;edition=prelim" TargetMode="External" /><Relationship Type="http://schemas.openxmlformats.org/officeDocument/2006/relationships/hyperlink" Id="rId40" Target="https://uscode.house.gov/view.xhtml?req=granuleid:USC-prelim-title44-section3554&amp;num=0&amp;edition=prelim" TargetMode="External" /><Relationship Type="http://schemas.openxmlformats.org/officeDocument/2006/relationships/hyperlink" Id="rId41" Target="https://www.cisa.gov/directives" TargetMode="External" /><Relationship Type="http://schemas.openxmlformats.org/officeDocument/2006/relationships/hyperlink" Id="rId52" Target="https://www.cisa.gov/news-events/directives/bod-18-01-enhance-email-and-web-security" TargetMode="External" /><Relationship Type="http://schemas.openxmlformats.org/officeDocument/2006/relationships/hyperlink" Id="rId23" Target="https://www.cisa.gov/news-events/directives/bod-23-01-improving-asset-visibility-and-vulnerability-detection-federal-networks" TargetMode="External" /><Relationship Type="http://schemas.openxmlformats.org/officeDocument/2006/relationships/hyperlink" Id="rId20" Target="https://www.cisa.gov/news-events/directives/bod-26-04-prioritizing-security-updates-based-risk" TargetMode="External" /><Relationship Type="http://schemas.openxmlformats.org/officeDocument/2006/relationships/hyperlink" Id="rId29" Target="https://www.cisa.gov/resources-tools/resources/logging-reference-architecture" TargetMode="External" /><Relationship Type="http://schemas.openxmlformats.org/officeDocument/2006/relationships/hyperlink" Id="rId28" Target="https://www.whitehouse.gov/wp-content/uploads/2026/05/M-26-14-Ensuring-Effective-and-Efficient-Agency-Logging-and-Network-Visibility-to-Defend-Against-Evolving-Cyber-Threats.pdf" TargetMode="External" /><Relationship Type="http://schemas.openxmlformats.org/officeDocument/2006/relationships/hyperlink" Id="rId6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