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system-and-information-integrity-policy"/>
    <w:p>
      <w:pPr>
        <w:pStyle w:val="Heading1"/>
      </w:pPr>
      <w:r>
        <w:t xml:space="preserve">System and Information Integrity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https://kston83.github.io/nist-guide/templates/policies/si/</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SI-1,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SI-1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Information Integrity, and who is accountable for meeting those requirements. (SI-1a.1(a))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(SI-1a.1(a))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(SI-1a.1(a))</w:t>
      </w:r>
    </w:p>
    <w:p>
      <w:pPr>
        <w:pStyle w:val="Compact"/>
        <w:numPr>
          <w:ilvl w:val="0"/>
          <w:numId w:val="1001"/>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manage the development, documentation and dissemination of this policy and its procedures. (SI-1b)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(SI-1a.1(a))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(SI-1a.1(a))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(SI-1a.1(a))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(SI-1a.1(a))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(SI-1a.1(b))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(SI-1a.1(a))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(SI-1a.1(a))</w:t>
      </w:r>
    </w:p>
    <w:p>
      <w:pPr>
        <w:pStyle w:val="Compact"/>
        <w:numPr>
          <w:ilvl w:val="0"/>
          <w:numId w:val="1002"/>
        </w:numPr>
      </w:pPr>
      <w:r>
        <w:t xml:space="preserve">Violations of this policy shall be handled through the organization’s sanctions process. (SI-1a.1(a))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ensure that documented procedures exist to implement this policy and its associated controls. (SI-1a.2)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information integrity policy is to be disseminated. Typical: everyone within its scope, through the policy library]</w:t>
      </w:r>
      <w:r>
        <w:t xml:space="preserve">. (SI-1a)</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information integrity procedures are to be disseminated. Typical: the people who carry them out, and the system owners]</w:t>
      </w:r>
      <w:r>
        <w:t xml:space="preserve">. (SI-1a)</w:t>
      </w:r>
    </w:p>
    <w:bookmarkEnd w:id="18"/>
    <w:bookmarkStart w:id="38"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2" w:name="flaw-remediation-si-2"/>
    <w:p>
      <w:pPr>
        <w:pStyle w:val="Heading3"/>
      </w:pPr>
      <w:r>
        <w:t xml:space="preserve">Flaw remediation (SI-2)</w:t>
      </w:r>
    </w:p>
    <w:p>
      <w:pPr>
        <w:pStyle w:val="Guidance"/>
      </w:pPr>
      <w:r>
        <w:t xml:space="preserve">SI-2 is the fixing half of vulnerability management: RA-5 finds the flaws, and SI-2 installs the updates that correct them. The installation times here count from the release of the update, while the RA-5 remediation times count from when a finding is reported, so keep the two sets of values consistent. The</w:t>
      </w:r>
      <w:r>
        <w:t xml:space="preserve"> </w:t>
      </w:r>
      <w:hyperlink r:id="rId19">
        <w:r>
          <w:rPr>
            <w:rStyle w:val="Hyperlink"/>
          </w:rPr>
          <w:t xml:space="preserve">Patch and Flaw Remediation Standard</w:t>
        </w:r>
      </w:hyperlink>
      <w:r>
        <w:t xml:space="preserve"> </w:t>
      </w:r>
      <w:r>
        <w:t xml:space="preserve">sets the test groups, deployment rings and schedules. NIST SP 800-40 Rev. 4, Guide to Enterprise Patch Management Planning (April 2022, current as of September 2026), describes how to plan patching as routine preventive maintenance.</w:t>
      </w:r>
    </w:p>
    <w:p>
      <w:pPr>
        <w:pStyle w:val="Compact"/>
        <w:numPr>
          <w:ilvl w:val="0"/>
          <w:numId w:val="1004"/>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004"/>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004"/>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004"/>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004"/>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004"/>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p>
      <w:pPr>
        <w:pStyle w:val="Guidance"/>
      </w:pPr>
      <w:r>
        <w:t xml:space="preserve">Unsupported software and firmware cannot be fixed. Record each unsupported component as a flaw, with a replacement date in the plan of action and milestones, until it is removed (SA-22).</w:t>
      </w:r>
    </w:p>
    <w:bookmarkStart w:id="21" w:name="federal-systems"/>
    <w:p>
      <w:pPr>
        <w:pStyle w:val="Heading4"/>
      </w:pPr>
      <w:r>
        <w:t xml:space="preserve">Federal systems</w:t>
      </w:r>
    </w:p>
    <w:p>
      <w:pPr>
        <w:pStyle w:val="FirstParagraph"/>
      </w:pPr>
      <w:r>
        <w:t xml:space="preserve">CISA</w:t>
      </w:r>
      <w:r>
        <w:t xml:space="preserve"> </w:t>
      </w:r>
      <w:hyperlink r:id="rId20">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21"/>
    <w:bookmarkEnd w:id="22"/>
    <w:bookmarkStart w:id="23" w:name="malicious-code-protection-si-3"/>
    <w:p>
      <w:pPr>
        <w:pStyle w:val="Heading3"/>
      </w:pPr>
      <w:r>
        <w:t xml:space="preserve">Malicious code protection (SI-3)</w:t>
      </w:r>
    </w:p>
    <w:p>
      <w:pPr>
        <w:pStyle w:val="Guidance"/>
      </w:pPr>
      <w:r>
        <w:t xml:space="preserve">Endpoint detection and response on servers and workstations, together with malware scanning in the email and web gateways, usually covers system entry and exit points. Non-signature-based means behavior or reputation analysis, which catches malware no signature yet describes. Enterprise tools are often common controls; the system owner makes sure every component that can run an agent has one.</w:t>
      </w:r>
    </w:p>
    <w:p>
      <w:pPr>
        <w:pStyle w:val="Compact"/>
        <w:numPr>
          <w:ilvl w:val="0"/>
          <w:numId w:val="1006"/>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006"/>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006"/>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006"/>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006"/>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006"/>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23"/>
    <w:bookmarkStart w:id="28" w:name="system-monitoring-si-4"/>
    <w:p>
      <w:pPr>
        <w:pStyle w:val="Heading3"/>
      </w:pPr>
      <w:r>
        <w:t xml:space="preserve">System monitoring (SI-4)</w:t>
      </w:r>
    </w:p>
    <w:p>
      <w:pPr>
        <w:pStyle w:val="Guidance"/>
      </w:pPr>
      <w:r>
        <w:t xml:space="preserve">System monitoring takes in the audit records reviewed under AU-6 and adds endpoint, network and cloud detection. The</w:t>
      </w:r>
      <w:r>
        <w:t xml:space="preserve"> </w:t>
      </w:r>
      <w:hyperlink r:id="rId24">
        <w:r>
          <w:rPr>
            <w:rStyle w:val="Hyperlink"/>
          </w:rPr>
          <w:t xml:space="preserve">System Monitoring Standard</w:t>
        </w:r>
      </w:hyperlink>
      <w:r>
        <w:t xml:space="preserve"> </w:t>
      </w:r>
      <w:r>
        <w:t xml:space="preserve">sets the log sources, detection coverage, alert handling and reporting. Legal review of monitoring (SI-4f) is usually done once for the organization’s monitoring program and repeated when monitoring changes, with a system use notification under AC-8.</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007"/>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007"/>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27" w:name="federal-systems-1"/>
    <w:p>
      <w:pPr>
        <w:pStyle w:val="Heading4"/>
      </w:pPr>
      <w:r>
        <w:t xml:space="preserve">Federal systems</w:t>
      </w:r>
    </w:p>
    <w:p>
      <w:pPr>
        <w:pStyle w:val="FirstParagraph"/>
      </w:pPr>
      <w:hyperlink r:id="rId25">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26">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008"/>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27"/>
    <w:bookmarkEnd w:id="28"/>
    <w:bookmarkStart w:id="32" w:name="X422471707f2a2f35375441b905309c1357cbe46"/>
    <w:p>
      <w:pPr>
        <w:pStyle w:val="Heading3"/>
      </w:pPr>
      <w:r>
        <w:t xml:space="preserve">Security alerts, advisories and directives (SI-5)</w:t>
      </w:r>
    </w:p>
    <w:p>
      <w:pPr>
        <w:pStyle w:val="Guidance"/>
      </w:pPr>
      <w:r>
        <w:t xml:space="preserve">Subscribing to the CISA advisories and the vendor security bulletins for every product in the component inventory (CM-8) is the usual starting point. The value is in routing: each alert reaches the people who run the affected component, with a due date.</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009"/>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31" w:name="federal-systems-2"/>
    <w:p>
      <w:pPr>
        <w:pStyle w:val="Heading4"/>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29">
        <w:r>
          <w:rPr>
            <w:rStyle w:val="Hyperlink"/>
          </w:rPr>
          <w:t xml:space="preserve">44 U.S.C. § 3554(a)(1)(B)(ii) and (v)</w:t>
        </w:r>
      </w:hyperlink>
      <w:r>
        <w:t xml:space="preserve">). CISA publishes them on its</w:t>
      </w:r>
      <w:r>
        <w:t xml:space="preserve"> </w:t>
      </w:r>
      <w:hyperlink r:id="rId30">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31"/>
    <w:bookmarkEnd w:id="32"/>
    <w:bookmarkStart w:id="37" w:name="Xff109d2c993c4421f257522c86596c85b62962b"/>
    <w:p>
      <w:pPr>
        <w:pStyle w:val="Heading3"/>
      </w:pPr>
      <w:r>
        <w:t xml:space="preserve">Information management and retention (SI-12)</w:t>
      </w:r>
    </w:p>
    <w:p>
      <w:pPr>
        <w:pStyle w:val="Guidance"/>
      </w:pPr>
      <w:r>
        <w:t xml:space="preserve">Retention applies to everything the system holds or produces: records, logs, backups, reports and exports. Records management usually owns the retention schedule; the system owner makes the system follow it, including deletion at the end of the period. For personally identifiable information, the retention periods also go in the privacy impact assessment.</w:t>
      </w:r>
    </w:p>
    <w:p>
      <w:pPr>
        <w:pStyle w:val="Compact"/>
        <w:numPr>
          <w:ilvl w:val="0"/>
          <w:numId w:val="1011"/>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011"/>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011"/>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36" w:name="federal-systems-3"/>
    <w:p>
      <w:pPr>
        <w:pStyle w:val="Heading4"/>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33">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34">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35">
        <w:r>
          <w:rPr>
            <w:rStyle w:val="Hyperlink"/>
          </w:rPr>
          <w:t xml:space="preserve">44 U.S.C. § 3303a(d)</w:t>
        </w:r>
      </w:hyperlink>
      <w:r>
        <w:t xml:space="preserve">). As of September 2026.</w:t>
      </w:r>
    </w:p>
    <w:p>
      <w:pPr>
        <w:pStyle w:val="Compact"/>
        <w:numPr>
          <w:ilvl w:val="0"/>
          <w:numId w:val="1012"/>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36"/>
    <w:bookmarkEnd w:id="37"/>
    <w:bookmarkEnd w:id="38"/>
    <w:bookmarkStart w:id="41" w:name="review-and-update"/>
    <w:p>
      <w:pPr>
        <w:pStyle w:val="Heading2"/>
      </w:pPr>
      <w:r>
        <w:t xml:space="preserve">Review and update</w:t>
      </w:r>
    </w:p>
    <w:p>
      <w:pPr>
        <w:pStyle w:val="Compact"/>
        <w:numPr>
          <w:ilvl w:val="0"/>
          <w:numId w:val="101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information integrity policy is reviewed and updated. Typical: annually]</w:t>
      </w:r>
      <w:r>
        <w:t xml:space="preserve"> </w:t>
      </w:r>
      <w:r>
        <w:t xml:space="preserve">and following</w:t>
      </w:r>
      <w:r>
        <w:t xml:space="preserve"> </w:t>
      </w:r>
      <w:r>
        <w:rPr>
          <w:rStyle w:val="Fill-in"/>
        </w:rPr>
        <w:t xml:space="preserve">[Fill in: events that would require the current system and information integrity policy to be reviewed and updated. Typical: assessment or audit findings, security incidents or breaches, and changes in applicable laws, executive orders, directives, regulations, policies, standards or guidelines]</w:t>
      </w:r>
      <w:r>
        <w:t xml:space="preserve">. (SI-1c.1)</w:t>
      </w:r>
    </w:p>
    <w:p>
      <w:pPr>
        <w:pStyle w:val="Compact"/>
        <w:numPr>
          <w:ilvl w:val="0"/>
          <w:numId w:val="101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information integrity procedures are reviewed and updated. Typical: annually]</w:t>
      </w:r>
      <w:r>
        <w:t xml:space="preserve"> </w:t>
      </w:r>
      <w:r>
        <w:t xml:space="preserve">and following</w:t>
      </w:r>
      <w:r>
        <w:t xml:space="preserve"> </w:t>
      </w:r>
      <w:r>
        <w:rPr>
          <w:rStyle w:val="Fill-in"/>
        </w:rPr>
        <w:t xml:space="preserve">[Fill in: events that would require the system and information integrity procedures to be reviewed and updated. Typical: the same events as the policy, and changes to the systems, tools or services the procedures describe]</w:t>
      </w:r>
      <w:r>
        <w:t xml:space="preserve">. (SI-1c.2)</w:t>
      </w:r>
    </w:p>
    <w:bookmarkStart w:id="40"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9">
        <w:r>
          <w:rPr>
            <w:rStyle w:val="Hyperlink"/>
          </w:rPr>
          <w:t xml:space="preserve">44 U.S.C. § 3554</w:t>
        </w:r>
      </w:hyperlink>
      <w:r>
        <w:t xml:space="preserve">, Federal agency responsibilities) and</w:t>
      </w:r>
      <w:r>
        <w:t xml:space="preserve"> </w:t>
      </w:r>
      <w:hyperlink r:id="rId39">
        <w:r>
          <w:rPr>
            <w:rStyle w:val="Hyperlink"/>
          </w:rPr>
          <w:t xml:space="preserve">OMB Circular A-130</w:t>
        </w:r>
      </w:hyperlink>
      <w:r>
        <w:t xml:space="preserve">, Appendix I, Responsibilities for Protecting and Managing Federal Information Resources.</w:t>
      </w:r>
    </w:p>
    <w:p>
      <w:pPr>
        <w:pStyle w:val="Compact"/>
        <w:numPr>
          <w:ilvl w:val="0"/>
          <w:numId w:val="1014"/>
        </w:numPr>
      </w:pPr>
      <w:r>
        <w:t xml:space="preserve">Where the agency’s organization-wide policy sets a value for a parameter in this policy, each system shall use that value or a stricter one. (SI-1a.1(b))</w:t>
      </w:r>
    </w:p>
    <w:bookmarkEnd w:id="40"/>
    <w:bookmarkEnd w:id="41"/>
    <w:bookmarkEnd w:id="4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Information Integrity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19" Target="https://kston83.github.io/nist-guide/templates/standards/patch-and-flaw-remediation-standard/" TargetMode="External" /><Relationship Type="http://schemas.openxmlformats.org/officeDocument/2006/relationships/hyperlink" Id="rId24" Target="https://kston83.github.io/nist-guide/templates/standards/system-monitoring-standard/" TargetMode="External" /><Relationship Type="http://schemas.openxmlformats.org/officeDocument/2006/relationships/hyperlink" Id="rId33" Target="https://uscode.house.gov/view.xhtml?req=granuleid:USC-prelim-title44-section3101&amp;num=0&amp;edition=prelim" TargetMode="External" /><Relationship Type="http://schemas.openxmlformats.org/officeDocument/2006/relationships/hyperlink" Id="rId35" Target="https://uscode.house.gov/view.xhtml?req=granuleid:USC-prelim-title44-section3303a&amp;num=0&amp;edition=prelim" TargetMode="External" /><Relationship Type="http://schemas.openxmlformats.org/officeDocument/2006/relationships/hyperlink" Id="rId34" Target="https://uscode.house.gov/view.xhtml?req=granuleid:USC-prelim-title44-section3314&amp;num=0&amp;edition=prelim" TargetMode="External" /><Relationship Type="http://schemas.openxmlformats.org/officeDocument/2006/relationships/hyperlink" Id="rId29" Target="https://uscode.house.gov/view.xhtml?req=granuleid:USC-prelim-title44-section3554&amp;num=0&amp;edition=prelim" TargetMode="External" /><Relationship Type="http://schemas.openxmlformats.org/officeDocument/2006/relationships/hyperlink" Id="rId30" Target="https://www.cisa.gov/directives" TargetMode="External" /><Relationship Type="http://schemas.openxmlformats.org/officeDocument/2006/relationships/hyperlink" Id="rId20" Target="https://www.cisa.gov/news-events/directives/bod-26-04-prioritizing-security-updates-based-risk" TargetMode="External" /><Relationship Type="http://schemas.openxmlformats.org/officeDocument/2006/relationships/hyperlink" Id="rId26" Target="https://www.cisa.gov/resources-tools/resources/logging-reference-architecture" TargetMode="External" /><Relationship Type="http://schemas.openxmlformats.org/officeDocument/2006/relationships/hyperlink" Id="rId25" Target="https://www.whitehouse.gov/wp-content/uploads/2026/05/M-26-14-Ensuring-Effective-and-Efficient-Agency-Logging-and-Network-Visibility-to-Defend-Against-Evolving-Cyber-Threats.pdf" TargetMode="External" /><Relationship Type="http://schemas.openxmlformats.org/officeDocument/2006/relationships/hyperlink" Id="rId3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19" Target="https://kston83.github.io/nist-guide/templates/standards/patch-and-flaw-remediation-standard/" TargetMode="External" /><Relationship Type="http://schemas.openxmlformats.org/officeDocument/2006/relationships/hyperlink" Id="rId24" Target="https://kston83.github.io/nist-guide/templates/standards/system-monitoring-standard/" TargetMode="External" /><Relationship Type="http://schemas.openxmlformats.org/officeDocument/2006/relationships/hyperlink" Id="rId33" Target="https://uscode.house.gov/view.xhtml?req=granuleid:USC-prelim-title44-section3101&amp;num=0&amp;edition=prelim" TargetMode="External" /><Relationship Type="http://schemas.openxmlformats.org/officeDocument/2006/relationships/hyperlink" Id="rId35" Target="https://uscode.house.gov/view.xhtml?req=granuleid:USC-prelim-title44-section3303a&amp;num=0&amp;edition=prelim" TargetMode="External" /><Relationship Type="http://schemas.openxmlformats.org/officeDocument/2006/relationships/hyperlink" Id="rId34" Target="https://uscode.house.gov/view.xhtml?req=granuleid:USC-prelim-title44-section3314&amp;num=0&amp;edition=prelim" TargetMode="External" /><Relationship Type="http://schemas.openxmlformats.org/officeDocument/2006/relationships/hyperlink" Id="rId29" Target="https://uscode.house.gov/view.xhtml?req=granuleid:USC-prelim-title44-section3554&amp;num=0&amp;edition=prelim" TargetMode="External" /><Relationship Type="http://schemas.openxmlformats.org/officeDocument/2006/relationships/hyperlink" Id="rId30" Target="https://www.cisa.gov/directives" TargetMode="External" /><Relationship Type="http://schemas.openxmlformats.org/officeDocument/2006/relationships/hyperlink" Id="rId20" Target="https://www.cisa.gov/news-events/directives/bod-26-04-prioritizing-security-updates-based-risk" TargetMode="External" /><Relationship Type="http://schemas.openxmlformats.org/officeDocument/2006/relationships/hyperlink" Id="rId26" Target="https://www.cisa.gov/resources-tools/resources/logging-reference-architecture" TargetMode="External" /><Relationship Type="http://schemas.openxmlformats.org/officeDocument/2006/relationships/hyperlink" Id="rId25" Target="https://www.whitehouse.gov/wp-content/uploads/2026/05/M-26-14-Ensuring-Effective-and-Efficient-Agency-Logging-and-Network-Visibility-to-Defend-Against-Evolving-Cyber-Threats.pdf" TargetMode="External" /><Relationship Type="http://schemas.openxmlformats.org/officeDocument/2006/relationships/hyperlink" Id="rId3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