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system-and-information-integrity-policy"/>
    <w:p>
      <w:pPr>
        <w:pStyle w:val="Heading1"/>
      </w:pPr>
      <w:r>
        <w:t xml:space="preserve">System and Information Integrity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https://kston83.github.io/nist-guide/templates/policies/si/</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SI-1,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SI-1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Information Integrity, and who is accountable for meeting those requirements. (SI-1a.1(a))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(SI-1a.1(a))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(SI-1a.1(a))</w:t>
      </w:r>
    </w:p>
    <w:p>
      <w:pPr>
        <w:pStyle w:val="Compact"/>
        <w:numPr>
          <w:ilvl w:val="0"/>
          <w:numId w:val="1001"/>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manage the development, documentation and dissemination of this policy and its procedures. (SI-1b)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(SI-1a.1(a))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(SI-1a.1(a))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(SI-1a.1(a))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(SI-1a.1(a))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(SI-1a.1(b))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(SI-1a.1(a))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(SI-1a.1(a))</w:t>
      </w:r>
    </w:p>
    <w:p>
      <w:pPr>
        <w:pStyle w:val="Compact"/>
        <w:numPr>
          <w:ilvl w:val="0"/>
          <w:numId w:val="1002"/>
        </w:numPr>
      </w:pPr>
      <w:r>
        <w:t xml:space="preserve">Violations of this policy shall be handled through the organization’s sanctions process. (SI-1a.1(a))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ensure that documented procedures exist to implement this policy and its associated controls. (SI-1a.2)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information integrity policy is to be disseminated. Typical: everyone within its scope, through the policy library]</w:t>
      </w:r>
      <w:r>
        <w:t xml:space="preserve">. (SI-1a)</w:t>
      </w:r>
    </w:p>
    <w:p>
      <w:pPr>
        <w:pStyle w:val="Compact"/>
        <w:numPr>
          <w:ilvl w:val="0"/>
          <w:numId w:val="1003"/>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information integrity procedures are to be disseminated. Typical: the people who carry them out, and the system owners]</w:t>
      </w:r>
      <w:r>
        <w:t xml:space="preserve">. (SI-1a)</w:t>
      </w:r>
    </w:p>
    <w:bookmarkEnd w:id="18"/>
    <w:bookmarkStart w:id="5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flaw-remediation-si-2"/>
    <w:p>
      <w:pPr>
        <w:pStyle w:val="Heading3"/>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19">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004"/>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004"/>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004"/>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004"/>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004"/>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4"/>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21" w:name="federal-systems"/>
    <w:p>
      <w:pPr>
        <w:pStyle w:val="Heading4"/>
      </w:pPr>
      <w:r>
        <w:t xml:space="preserve">Federal systems</w:t>
      </w:r>
    </w:p>
    <w:p>
      <w:pPr>
        <w:pStyle w:val="FirstParagraph"/>
      </w:pPr>
      <w:r>
        <w:t xml:space="preserve">CISA</w:t>
      </w:r>
      <w:r>
        <w:t xml:space="preserve"> </w:t>
      </w:r>
      <w:hyperlink r:id="rId20">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21"/>
    <w:bookmarkEnd w:id="22"/>
    <w:bookmarkStart w:id="25" w:name="automated-flaw-remediation-status-si-22"/>
    <w:p>
      <w:pPr>
        <w:pStyle w:val="Heading3"/>
      </w:pPr>
      <w:r>
        <w:t xml:space="preserve">Automated flaw remediation status (SI-2(2))</w:t>
      </w:r>
    </w:p>
    <w:p>
      <w:pPr>
        <w:pStyle w:val="Guidance"/>
      </w:pPr>
      <w:r>
        <w:t xml:space="preserve">Patch compliance reports from the patch management tool, checked against authenticated vulnerability scans, show which components are missing updates. Components the tools cannot reach, such as appliances, need a manual check on the same schedule.</w:t>
      </w:r>
    </w:p>
    <w:p>
      <w:pPr>
        <w:pStyle w:val="Compact"/>
        <w:numPr>
          <w:ilvl w:val="0"/>
          <w:numId w:val="1006"/>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24" w:name="federal-systems-1"/>
    <w:p>
      <w:pPr>
        <w:pStyle w:val="Heading4"/>
      </w:pPr>
      <w:r>
        <w:t xml:space="preserve">Federal systems</w:t>
      </w:r>
    </w:p>
    <w:p>
      <w:pPr>
        <w:pStyle w:val="FirstParagraph"/>
      </w:pPr>
      <w:r>
        <w:t xml:space="preserve">CISA</w:t>
      </w:r>
      <w:r>
        <w:t xml:space="preserve"> </w:t>
      </w:r>
      <w:hyperlink r:id="rId23">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24"/>
    <w:bookmarkEnd w:id="25"/>
    <w:bookmarkStart w:id="26" w:name="malicious-code-protection-si-3"/>
    <w:p>
      <w:pPr>
        <w:pStyle w:val="Heading3"/>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008"/>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008"/>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008"/>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26"/>
    <w:bookmarkStart w:id="31" w:name="system-monitoring-si-4"/>
    <w:p>
      <w:pPr>
        <w:pStyle w:val="Heading3"/>
      </w:pPr>
      <w:r>
        <w:t xml:space="preserve">System monitoring (SI-4)</w:t>
      </w:r>
    </w:p>
    <w:p>
      <w:pPr>
        <w:pStyle w:val="Guidance"/>
      </w:pPr>
      <w:r>
        <w:t xml:space="preserve">System monitoring takes in the audit records reviewed under AU-6 and adds endpoint, network and cloud detection. The</w:t>
      </w:r>
      <w:r>
        <w:t xml:space="preserve"> </w:t>
      </w:r>
      <w:hyperlink r:id="rId27">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009"/>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30" w:name="federal-systems-2"/>
    <w:p>
      <w:pPr>
        <w:pStyle w:val="Heading4"/>
      </w:pPr>
      <w:r>
        <w:t xml:space="preserve">Federal systems</w:t>
      </w:r>
    </w:p>
    <w:p>
      <w:pPr>
        <w:pStyle w:val="FirstParagraph"/>
      </w:pPr>
      <w:hyperlink r:id="rId28">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29">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10"/>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30"/>
    <w:bookmarkEnd w:id="31"/>
    <w:bookmarkStart w:id="32" w:name="X8a80baf582a49d4d9889c3faf8928af9376698f"/>
    <w:p>
      <w:pPr>
        <w:pStyle w:val="Heading3"/>
      </w:pPr>
      <w:r>
        <w:t xml:space="preserve">Automated tools and mechanisms for real-time analysis (SI-4(2))</w:t>
      </w:r>
    </w:p>
    <w:p>
      <w:pPr>
        <w:pStyle w:val="Guidance"/>
      </w:pPr>
      <w:r>
        <w:t xml:space="preserve">Correlation rules and analytics in the SIEM, and the detection engines in endpoint and network tools, are the automated tools. Near real-time means minutes, not the next day’s review.</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32"/>
    <w:bookmarkStart w:id="33" w:name="X086976cc2050666cf15bad964011e507a1b4feb"/>
    <w:p>
      <w:pPr>
        <w:pStyle w:val="Heading3"/>
      </w:pPr>
      <w:r>
        <w:t xml:space="preserve">Inbound and outbound communications traffic (SI-4(4))</w:t>
      </w:r>
    </w:p>
    <w:p>
      <w:pPr>
        <w:pStyle w:val="Guidance"/>
      </w:pPr>
      <w:r>
        <w:t xml:space="preserve">Outbound monitoring is where data exfiltration and command-and-control traffic show up. Threat intelligence feeds supply the known malicious sources and destinations; a baseline of normal volumes supplies the unusual ones.</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33"/>
    <w:bookmarkStart w:id="34" w:name="system-generated-alerts-si-45"/>
    <w:p>
      <w:pPr>
        <w:pStyle w:val="Heading3"/>
      </w:pPr>
      <w:r>
        <w:t xml:space="preserve">System-generated alerts (SI-4(5))</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34"/>
    <w:bookmarkStart w:id="38" w:name="X422471707f2a2f35375441b905309c1357cbe46"/>
    <w:p>
      <w:pPr>
        <w:pStyle w:val="Heading3"/>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014"/>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014"/>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37" w:name="federal-systems-3"/>
    <w:p>
      <w:pPr>
        <w:pStyle w:val="Heading4"/>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35">
        <w:r>
          <w:rPr>
            <w:rStyle w:val="Hyperlink"/>
          </w:rPr>
          <w:t xml:space="preserve">44 U.S.C. § 3554(a)(1)(B)(ii) and (v)</w:t>
        </w:r>
      </w:hyperlink>
      <w:r>
        <w:t xml:space="preserve">). CISA publishes them on its</w:t>
      </w:r>
      <w:r>
        <w:t xml:space="preserve"> </w:t>
      </w:r>
      <w:hyperlink r:id="rId36">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015"/>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37"/>
    <w:bookmarkEnd w:id="38"/>
    <w:bookmarkStart w:id="39" w:name="X95965c3e89e2825030f93836cb8588d2d9c6c61"/>
    <w:p>
      <w:pPr>
        <w:pStyle w:val="Heading3"/>
      </w:pPr>
      <w:r>
        <w:t xml:space="preserve">Software, firmware and information integrity (SI-7)</w:t>
      </w:r>
    </w:p>
    <w:p>
      <w:pPr>
        <w:pStyle w:val="Guidance"/>
      </w:pPr>
      <w:r>
        <w:t xml:space="preserve">File integrity monitoring, signed and verified container images, secure boot and measured boot are the usual integrity verification tools. Changes approved under CM-3 are expected; integrity verification finds the ones that were not.</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016"/>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016"/>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016"/>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016"/>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39"/>
    <w:bookmarkStart w:id="40" w:name="integrity-checks-si-71"/>
    <w:p>
      <w:pPr>
        <w:pStyle w:val="Heading3"/>
      </w:pPr>
      <w:r>
        <w:t xml:space="preserve">Integrity checks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017"/>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40"/>
    <w:bookmarkStart w:id="41" w:name="X2f1cd96a2cb86d3905abc869a6e0db23cd2262c"/>
    <w:p>
      <w:pPr>
        <w:pStyle w:val="Heading3"/>
      </w:pPr>
      <w:r>
        <w:t xml:space="preserve">Integration of detection and response (SI-7(7))</w:t>
      </w:r>
    </w:p>
    <w:p>
      <w:pPr>
        <w:pStyle w:val="Compact"/>
        <w:numPr>
          <w:ilvl w:val="0"/>
          <w:numId w:val="1018"/>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41"/>
    <w:bookmarkStart w:id="44" w:name="spam-protection-si-8"/>
    <w:p>
      <w:pPr>
        <w:pStyle w:val="Heading3"/>
      </w:pPr>
      <w:r>
        <w:t xml:space="preserve">Spam protection (SI-8)</w:t>
      </w:r>
    </w:p>
    <w:p>
      <w:pPr>
        <w:pStyle w:val="Guidance"/>
      </w:pPr>
      <w:r>
        <w:t xml:space="preserve">Spam protection sits in the email gateway or the cloud email service’s filtering, and in some cases in web or messaging gateways. Publishing SPF, DKIM and DMARC records for the organization’s own domains helps other organizations reject mail that spoofs them.</w:t>
      </w:r>
    </w:p>
    <w:p>
      <w:pPr>
        <w:pStyle w:val="Compact"/>
        <w:numPr>
          <w:ilvl w:val="0"/>
          <w:numId w:val="1019"/>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019"/>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43" w:name="federal-systems-4"/>
    <w:p>
      <w:pPr>
        <w:pStyle w:val="Heading4"/>
      </w:pPr>
      <w:r>
        <w:t xml:space="preserve">Federal systems</w:t>
      </w:r>
    </w:p>
    <w:p>
      <w:pPr>
        <w:pStyle w:val="FirstParagraph"/>
      </w:pPr>
      <w:r>
        <w:t xml:space="preserve">CISA</w:t>
      </w:r>
      <w:r>
        <w:t xml:space="preserve"> </w:t>
      </w:r>
      <w:hyperlink r:id="rId42">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020"/>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43"/>
    <w:bookmarkEnd w:id="44"/>
    <w:bookmarkStart w:id="45" w:name="automatic-updates-si-82"/>
    <w:p>
      <w:pPr>
        <w:pStyle w:val="Heading3"/>
      </w:pPr>
      <w:r>
        <w:t xml:space="preserve">Automatic updates (SI-8(2))</w:t>
      </w:r>
    </w:p>
    <w:p>
      <w:pPr>
        <w:pStyle w:val="Compact"/>
        <w:numPr>
          <w:ilvl w:val="0"/>
          <w:numId w:val="1021"/>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45"/>
    <w:bookmarkStart w:id="46" w:name="information-input-validation-si-10"/>
    <w:p>
      <w:pPr>
        <w:pStyle w:val="Heading3"/>
      </w:pPr>
      <w:r>
        <w:t xml:space="preserve">Information input validation (SI-10)</w:t>
      </w:r>
    </w:p>
    <w:p>
      <w:pPr>
        <w:pStyle w:val="Guidance"/>
      </w:pPr>
      <w:r>
        <w:t xml:space="preserve">Validate on the server, against an allow list of expected type, length, format and range, and keep data separate from commands (for example, parameterized database queries). Code review and application security testing (SA-11) are where assessors look for evidence.</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46"/>
    <w:bookmarkStart w:id="47" w:name="error-handling-si-11"/>
    <w:p>
      <w:pPr>
        <w:pStyle w:val="Heading3"/>
      </w:pPr>
      <w:r>
        <w:t xml:space="preserve">Error handling (SI-11)</w:t>
      </w:r>
    </w:p>
    <w:p>
      <w:pPr>
        <w:pStyle w:val="Guidance"/>
      </w:pPr>
      <w:r>
        <w:t xml:space="preserve">Users see a short message and a reference number; the detail, such as stack traces, database errors and internal paths, goes to the logs. Login and password reset messages should not reveal whether an account exists.</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47"/>
    <w:bookmarkStart w:id="52" w:name="Xff109d2c993c4421f257522c86596c85b62962b"/>
    <w:p>
      <w:pPr>
        <w:pStyle w:val="Heading3"/>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024"/>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024"/>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024"/>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51" w:name="federal-systems-5"/>
    <w:p>
      <w:pPr>
        <w:pStyle w:val="Heading4"/>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48">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49">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50">
        <w:r>
          <w:rPr>
            <w:rStyle w:val="Hyperlink"/>
          </w:rPr>
          <w:t xml:space="preserve">44 U.S.C. § 3303a(d)</w:t>
        </w:r>
      </w:hyperlink>
      <w:r>
        <w:t xml:space="preserve">).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51"/>
    <w:bookmarkEnd w:id="52"/>
    <w:bookmarkStart w:id="53" w:name="memory-protection-si-16"/>
    <w:p>
      <w:pPr>
        <w:pStyle w:val="Heading3"/>
      </w:pPr>
      <w:r>
        <w:t xml:space="preserve">Memory protection (SI-16)</w:t>
      </w:r>
    </w:p>
    <w:p>
      <w:pPr>
        <w:pStyle w:val="Guidance"/>
      </w:pPr>
      <w:r>
        <w:t xml:space="preserve">Modern operating systems provide these protections by default; the evidence is a configuration baseline (CM-6) that keeps them enabled and a scan that shows no exceptions.</w:t>
      </w:r>
    </w:p>
    <w:p>
      <w:pPr>
        <w:pStyle w:val="Compact"/>
        <w:numPr>
          <w:ilvl w:val="0"/>
          <w:numId w:val="1026"/>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53"/>
    <w:bookmarkEnd w:id="54"/>
    <w:bookmarkStart w:id="57" w:name="review-and-update"/>
    <w:p>
      <w:pPr>
        <w:pStyle w:val="Heading2"/>
      </w:pPr>
      <w:r>
        <w:t xml:space="preserve">Review and update</w:t>
      </w:r>
    </w:p>
    <w:p>
      <w:pPr>
        <w:pStyle w:val="Compact"/>
        <w:numPr>
          <w:ilvl w:val="0"/>
          <w:numId w:val="102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information integrity policy is reviewed and updated. Typical: annually]</w:t>
      </w:r>
      <w:r>
        <w:t xml:space="preserve"> </w:t>
      </w:r>
      <w:r>
        <w:t xml:space="preserve">and following</w:t>
      </w:r>
      <w:r>
        <w:t xml:space="preserve"> </w:t>
      </w:r>
      <w:r>
        <w:rPr>
          <w:rStyle w:val="Fill-in"/>
        </w:rPr>
        <w:t xml:space="preserve">[Fill in: events that would require the current system and information integrity policy to be reviewed and updated. Typical: assessment or audit findings, security incidents or breaches, and changes in applicable laws, executive orders, directives, regulations, policies, standards or guidelines]</w:t>
      </w:r>
      <w:r>
        <w:t xml:space="preserve">. (SI-1c.1)</w:t>
      </w:r>
    </w:p>
    <w:p>
      <w:pPr>
        <w:pStyle w:val="Compact"/>
        <w:numPr>
          <w:ilvl w:val="0"/>
          <w:numId w:val="1027"/>
        </w:numPr>
      </w:pPr>
      <w:r>
        <w:t xml:space="preserve">The</w:t>
      </w:r>
      <w:r>
        <w:t xml:space="preserve"> </w:t>
      </w:r>
      <w:r>
        <w:rPr>
          <w:rStyle w:val="Fill-in"/>
        </w:rPr>
        <w:t xml:space="preserve">[Fill in: an official to manage the system and information integrity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information integrity procedures are reviewed and updated. Typical: annually]</w:t>
      </w:r>
      <w:r>
        <w:t xml:space="preserve"> </w:t>
      </w:r>
      <w:r>
        <w:t xml:space="preserve">and following</w:t>
      </w:r>
      <w:r>
        <w:t xml:space="preserve"> </w:t>
      </w:r>
      <w:r>
        <w:rPr>
          <w:rStyle w:val="Fill-in"/>
        </w:rPr>
        <w:t xml:space="preserve">[Fill in: events that would require the system and information integrity procedures to be reviewed and updated. Typical: the same events as the policy, and changes to the systems, tools or services the procedures describe]</w:t>
      </w:r>
      <w:r>
        <w:t xml:space="preserve">. (SI-1c.2)</w:t>
      </w:r>
    </w:p>
    <w:bookmarkStart w:id="56" w:name="federal-systems-6"/>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5">
        <w:r>
          <w:rPr>
            <w:rStyle w:val="Hyperlink"/>
          </w:rPr>
          <w:t xml:space="preserve">44 U.S.C. § 3554</w:t>
        </w:r>
      </w:hyperlink>
      <w:r>
        <w:t xml:space="preserve">, Federal agency responsibilities) and</w:t>
      </w:r>
      <w:r>
        <w:t xml:space="preserve"> </w:t>
      </w:r>
      <w:hyperlink r:id="rId55">
        <w:r>
          <w:rPr>
            <w:rStyle w:val="Hyperlink"/>
          </w:rPr>
          <w:t xml:space="preserve">OMB Circular A-130</w:t>
        </w:r>
      </w:hyperlink>
      <w:r>
        <w:t xml:space="preserve">, Appendix I, Responsibilities for Protecting and Managing Federal Information Resources.</w:t>
      </w:r>
    </w:p>
    <w:p>
      <w:pPr>
        <w:pStyle w:val="Compact"/>
        <w:numPr>
          <w:ilvl w:val="0"/>
          <w:numId w:val="1028"/>
        </w:numPr>
      </w:pPr>
      <w:r>
        <w:t xml:space="preserve">Where the agency’s organization-wide policy sets a value for a parameter in this policy, each system shall use that value or a stricter one. (SI-1a.1(b))</w:t>
      </w:r>
    </w:p>
    <w:bookmarkEnd w:id="56"/>
    <w:bookmarkEnd w:id="57"/>
    <w:bookmarkEnd w:id="5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Information Integrity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7" Target="https://kston83.github.io/nist-guide/templates/standards/system-monitoring-standard/" TargetMode="External" /><Relationship Type="http://schemas.openxmlformats.org/officeDocument/2006/relationships/hyperlink" Id="rId48" Target="https://uscode.house.gov/view.xhtml?req=granuleid:USC-prelim-title44-section3101&amp;num=0&amp;edition=prelim" TargetMode="External" /><Relationship Type="http://schemas.openxmlformats.org/officeDocument/2006/relationships/hyperlink" Id="rId50" Target="https://uscode.house.gov/view.xhtml?req=granuleid:USC-prelim-title44-section3303a&amp;num=0&amp;edition=prelim" TargetMode="External" /><Relationship Type="http://schemas.openxmlformats.org/officeDocument/2006/relationships/hyperlink" Id="rId49" Target="https://uscode.house.gov/view.xhtml?req=granuleid:USC-prelim-title44-section3314&amp;num=0&amp;edition=prelim"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36" Target="https://www.cisa.gov/directives" TargetMode="External" /><Relationship Type="http://schemas.openxmlformats.org/officeDocument/2006/relationships/hyperlink" Id="rId42" Target="https://www.cisa.gov/news-events/directives/bod-18-01-enhance-email-and-web-security"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9" Target="https://www.cisa.gov/resources-tools/resources/logging-reference-architect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5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i/" TargetMode="External" /><Relationship Type="http://schemas.openxmlformats.org/officeDocument/2006/relationships/hyperlink" Id="rId19" Target="https://kston83.github.io/nist-guide/templates/standards/patch-and-flaw-remediation-standard/" TargetMode="External" /><Relationship Type="http://schemas.openxmlformats.org/officeDocument/2006/relationships/hyperlink" Id="rId27" Target="https://kston83.github.io/nist-guide/templates/standards/system-monitoring-standard/" TargetMode="External" /><Relationship Type="http://schemas.openxmlformats.org/officeDocument/2006/relationships/hyperlink" Id="rId48" Target="https://uscode.house.gov/view.xhtml?req=granuleid:USC-prelim-title44-section3101&amp;num=0&amp;edition=prelim" TargetMode="External" /><Relationship Type="http://schemas.openxmlformats.org/officeDocument/2006/relationships/hyperlink" Id="rId50" Target="https://uscode.house.gov/view.xhtml?req=granuleid:USC-prelim-title44-section3303a&amp;num=0&amp;edition=prelim" TargetMode="External" /><Relationship Type="http://schemas.openxmlformats.org/officeDocument/2006/relationships/hyperlink" Id="rId49" Target="https://uscode.house.gov/view.xhtml?req=granuleid:USC-prelim-title44-section3314&amp;num=0&amp;edition=prelim"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36" Target="https://www.cisa.gov/directives" TargetMode="External" /><Relationship Type="http://schemas.openxmlformats.org/officeDocument/2006/relationships/hyperlink" Id="rId42" Target="https://www.cisa.gov/news-events/directives/bod-18-01-enhance-email-and-web-security" TargetMode="External" /><Relationship Type="http://schemas.openxmlformats.org/officeDocument/2006/relationships/hyperlink" Id="rId23"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 Type="http://schemas.openxmlformats.org/officeDocument/2006/relationships/hyperlink" Id="rId29" Target="https://www.cisa.gov/resources-tools/resources/logging-reference-architecture" TargetMode="External" /><Relationship Type="http://schemas.openxmlformats.org/officeDocument/2006/relationships/hyperlink" Id="rId28" Target="https://www.whitehouse.gov/wp-content/uploads/2026/05/M-26-14-Ensuring-Effective-and-Efficient-Agency-Logging-and-Network-Visibility-to-Defend-Against-Evolving-Cyber-Threats.pdf" TargetMode="External" /><Relationship Type="http://schemas.openxmlformats.org/officeDocument/2006/relationships/hyperlink" Id="rId5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