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6" w:name="system-and-information-integrity-policy"/>
    <w:p>
      <w:pPr>
        <w:pStyle w:val="Heading1"/>
      </w:pPr>
      <w:r>
        <w:t xml:space="preserve">System and Information Integrity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https://kston83.github.io/nist-guide/templates/policies/si/</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Information Integrity, and who is accountable for meeting those requirements. (SI-1a.1(a))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(SI-1a.1(a))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(SI-1a.1(a))</w:t>
      </w:r>
    </w:p>
    <w:p>
      <w:pPr>
        <w:pStyle w:val="Compact"/>
        <w:numPr>
          <w:ilvl w:val="0"/>
          <w:numId w:val="1001"/>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manage the development, documentation and dissemination of this policy and its procedures. (SI-1b)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(SI-1a.1(a))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(SI-1a.1(a))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(SI-1a.1(a))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(SI-1a.1(a))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(SI-1a.1(b))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(SI-1a.1(a))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(SI-1a.1(a))</w:t>
      </w:r>
    </w:p>
    <w:p>
      <w:pPr>
        <w:pStyle w:val="Compact"/>
        <w:numPr>
          <w:ilvl w:val="0"/>
          <w:numId w:val="1002"/>
        </w:numPr>
      </w:pPr>
      <w:r>
        <w:t xml:space="preserve">Violations of this policy shall be handled through the organization’s sanctions process. (SI-1a.1(a))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ensure that documented procedures exist to implement this policy and its associated controls. (SI-1a.2)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information integrity policy is to be disseminated. Typical: everyone within its scope, through the policy library]</w:t>
      </w:r>
      <w:r>
        <w:t xml:space="preserve">. (SI-1a)</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information integrity procedures are to be disseminated. Typical: the people who carry them out, and the system owners]</w:t>
      </w:r>
      <w:r>
        <w:t xml:space="preserve">. (SI-1a)</w:t>
      </w:r>
    </w:p>
    <w:bookmarkEnd w:id="18"/>
    <w:bookmarkStart w:id="52" w:name="policy-statements"/>
    <w:p>
      <w:pPr>
        <w:pStyle w:val="Heading2"/>
      </w:pPr>
      <w:r>
        <w:t xml:space="preserve">Policy statements</w:t>
      </w:r>
    </w:p>
    <w:bookmarkStart w:id="21" w:name="flaw-remediation-si-2"/>
    <w:p>
      <w:pPr>
        <w:pStyle w:val="Heading3"/>
      </w:pPr>
      <w:r>
        <w:t xml:space="preserve">Flaw remediation (SI-2)</w:t>
      </w:r>
    </w:p>
    <w:p>
      <w:pPr>
        <w:pStyle w:val="Compact"/>
        <w:numPr>
          <w:ilvl w:val="0"/>
          <w:numId w:val="1004"/>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004"/>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004"/>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004"/>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004"/>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004"/>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bookmarkStart w:id="20" w:name="federal-systems"/>
    <w:p>
      <w:pPr>
        <w:pStyle w:val="Heading4"/>
      </w:pPr>
      <w:r>
        <w:t xml:space="preserve">Federal systems</w:t>
      </w:r>
    </w:p>
    <w:p>
      <w:pPr>
        <w:pStyle w:val="FirstParagraph"/>
      </w:pPr>
      <w:r>
        <w:t xml:space="preserve">CISA</w:t>
      </w:r>
      <w:r>
        <w:t xml:space="preserve"> </w:t>
      </w:r>
      <w:hyperlink r:id="rId19">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20"/>
    <w:bookmarkEnd w:id="21"/>
    <w:bookmarkStart w:id="24" w:name="automated-flaw-remediation-status-si-22"/>
    <w:p>
      <w:pPr>
        <w:pStyle w:val="Heading3"/>
      </w:pPr>
      <w:r>
        <w:t xml:space="preserve">Automated flaw remediation status (SI-2(2))</w:t>
      </w:r>
    </w:p>
    <w:p>
      <w:pPr>
        <w:pStyle w:val="Compact"/>
        <w:numPr>
          <w:ilvl w:val="0"/>
          <w:numId w:val="1006"/>
        </w:numPr>
      </w:pPr>
      <w:r>
        <w:t xml:space="preserve">The</w:t>
      </w:r>
      <w:r>
        <w:t xml:space="preserve"> </w:t>
      </w:r>
      <w:r>
        <w:rPr>
          <w:rStyle w:val="Fill-in"/>
        </w:rPr>
        <w:t xml:space="preserve">[System owner]</w:t>
      </w:r>
      <w:r>
        <w:t xml:space="preserve"> </w:t>
      </w:r>
      <w:r>
        <w:t xml:space="preserve">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bookmarkStart w:id="23" w:name="federal-systems-1"/>
    <w:p>
      <w:pPr>
        <w:pStyle w:val="Heading4"/>
      </w:pPr>
      <w:r>
        <w:t xml:space="preserve">Federal systems</w:t>
      </w:r>
    </w:p>
    <w:p>
      <w:pPr>
        <w:pStyle w:val="FirstParagraph"/>
      </w:pPr>
      <w:r>
        <w:t xml:space="preserve">CISA</w:t>
      </w:r>
      <w:r>
        <w:t xml:space="preserve"> </w:t>
      </w:r>
      <w:hyperlink r:id="rId22">
        <w:r>
          <w:rPr>
            <w:rStyle w:val="Hyperlink"/>
          </w:rPr>
          <w:t xml:space="preserve">BOD 23-01</w:t>
        </w:r>
      </w:hyperlink>
      <w:r>
        <w:t xml:space="preserve">, Improving Asset Visibility and Vulnerability Detection on Federal Networks (October 3, 2022), requires federal civilian agencies to perform automated asset discovery every 7 days and to initiate vulnerability enumeration across all discovered assets, including roaming devices such as laptops, every 14 days.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(SI-2(2))</w:t>
      </w:r>
    </w:p>
    <w:bookmarkEnd w:id="23"/>
    <w:bookmarkEnd w:id="24"/>
    <w:bookmarkStart w:id="25" w:name="malicious-code-protection-si-3"/>
    <w:p>
      <w:pPr>
        <w:pStyle w:val="Heading3"/>
      </w:pPr>
      <w:r>
        <w:t xml:space="preserve">Malicious code protection (SI-3)</w:t>
      </w:r>
    </w:p>
    <w:p>
      <w:pPr>
        <w:pStyle w:val="Compact"/>
        <w:numPr>
          <w:ilvl w:val="0"/>
          <w:numId w:val="1008"/>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008"/>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25"/>
    <w:bookmarkStart w:id="29" w:name="system-monitoring-si-4"/>
    <w:p>
      <w:pPr>
        <w:pStyle w:val="Heading3"/>
      </w:pPr>
      <w:r>
        <w:t xml:space="preserve">System monitoring (SI-4)</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009"/>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009"/>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28" w:name="federal-systems-2"/>
    <w:p>
      <w:pPr>
        <w:pStyle w:val="Heading4"/>
      </w:pPr>
      <w:r>
        <w:t xml:space="preserve">Federal systems</w:t>
      </w:r>
    </w:p>
    <w:p>
      <w:pPr>
        <w:pStyle w:val="FirstParagraph"/>
      </w:pPr>
      <w:hyperlink r:id="rId26">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27">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010"/>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010"/>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28"/>
    <w:bookmarkEnd w:id="29"/>
    <w:bookmarkStart w:id="30" w:name="X8a80baf582a49d4d9889c3faf8928af9376698f"/>
    <w:p>
      <w:pPr>
        <w:pStyle w:val="Heading3"/>
      </w:pPr>
      <w:r>
        <w:t xml:space="preserve">Automated tools and mechanisms for real-time analysis (SI-4(2))</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bookmarkEnd w:id="30"/>
    <w:bookmarkStart w:id="31" w:name="X086976cc2050666cf15bad964011e507a1b4feb"/>
    <w:p>
      <w:pPr>
        <w:pStyle w:val="Heading3"/>
      </w:pPr>
      <w:r>
        <w:t xml:space="preserve">Inbound and outbound communications traffic (SI-4(4))</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monitor inbound communications traffic</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monitor outbound communications traffic</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bookmarkEnd w:id="31"/>
    <w:bookmarkStart w:id="32" w:name="system-generated-alerts-si-45"/>
    <w:p>
      <w:pPr>
        <w:pStyle w:val="Heading3"/>
      </w:pPr>
      <w:r>
        <w:t xml:space="preserve">System-generated alerts (SI-4(5))</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bookmarkEnd w:id="32"/>
    <w:bookmarkStart w:id="36" w:name="X422471707f2a2f35375441b905309c1357cbe46"/>
    <w:p>
      <w:pPr>
        <w:pStyle w:val="Heading3"/>
      </w:pPr>
      <w:r>
        <w:t xml:space="preserve">Security alerts, advisories and directives (SI-5)</w:t>
      </w:r>
    </w:p>
    <w:p>
      <w:pPr>
        <w:pStyle w:val="Compact"/>
        <w:numPr>
          <w:ilvl w:val="0"/>
          <w:numId w:val="1014"/>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014"/>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014"/>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014"/>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35" w:name="federal-systems-3"/>
    <w:p>
      <w:pPr>
        <w:pStyle w:val="Heading4"/>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33">
        <w:r>
          <w:rPr>
            <w:rStyle w:val="Hyperlink"/>
          </w:rPr>
          <w:t xml:space="preserve">44 U.S.C. § 3554(a)(1)(B)(ii) and (v)</w:t>
        </w:r>
      </w:hyperlink>
      <w:r>
        <w:t xml:space="preserve">). CISA publishes them on its</w:t>
      </w:r>
      <w:r>
        <w:t xml:space="preserve"> </w:t>
      </w:r>
      <w:hyperlink r:id="rId34">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35"/>
    <w:bookmarkEnd w:id="36"/>
    <w:bookmarkStart w:id="37" w:name="X95965c3e89e2825030f93836cb8588d2d9c6c61"/>
    <w:p>
      <w:pPr>
        <w:pStyle w:val="Heading3"/>
      </w:pPr>
      <w:r>
        <w:t xml:space="preserve">Software, firmware and information integrity (SI-7)</w:t>
      </w:r>
    </w:p>
    <w:p>
      <w:pPr>
        <w:pStyle w:val="Compact"/>
        <w:numPr>
          <w:ilvl w:val="0"/>
          <w:numId w:val="1016"/>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software:</w:t>
      </w:r>
      <w:r>
        <w:t xml:space="preserve"> </w:t>
      </w:r>
      <w:r>
        <w:rPr>
          <w:rStyle w:val="Fill-in"/>
        </w:rPr>
        <w:t xml:space="preserve">[Fill in: software requiring integrity verification tools to be employed to detect unauthorized changes. Typical: operating system files, installed applications, container images and security tool binaries]</w:t>
      </w:r>
      <w:r>
        <w:t xml:space="preserve">. (SI-7a)</w:t>
      </w:r>
    </w:p>
    <w:p>
      <w:pPr>
        <w:pStyle w:val="Compact"/>
        <w:numPr>
          <w:ilvl w:val="0"/>
          <w:numId w:val="1016"/>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firmware:</w:t>
      </w:r>
      <w:r>
        <w:t xml:space="preserve"> </w:t>
      </w:r>
      <w:r>
        <w:rPr>
          <w:rStyle w:val="Fill-in"/>
        </w:rPr>
        <w:t xml:space="preserve">[Fill in: firmware requiring integrity verification tools to be employed to detect unauthorized changes. Typical: server, network device and endpoint firmware and boot components, where the platform supports verification]</w:t>
      </w:r>
      <w:r>
        <w:t xml:space="preserve">. (SI-7a)</w:t>
      </w:r>
    </w:p>
    <w:p>
      <w:pPr>
        <w:pStyle w:val="Compact"/>
        <w:numPr>
          <w:ilvl w:val="0"/>
          <w:numId w:val="1016"/>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information:</w:t>
      </w:r>
      <w:r>
        <w:t xml:space="preserve"> </w:t>
      </w:r>
      <w:r>
        <w:rPr>
          <w:rStyle w:val="Fill-in"/>
        </w:rPr>
        <w:t xml:space="preserve">[Fill in: information requiring integrity verification tools to be employed to detect unauthorized changes. Typical: security configuration files, audit logs, and the critical data stores named in the system security plan]</w:t>
      </w:r>
      <w:r>
        <w:t xml:space="preserve">. (SI-7a)</w:t>
      </w:r>
    </w:p>
    <w:p>
      <w:pPr>
        <w:pStyle w:val="Compact"/>
        <w:numPr>
          <w:ilvl w:val="0"/>
          <w:numId w:val="1016"/>
        </w:numPr>
      </w:pPr>
      <w:r>
        <w:t xml:space="preserve">When unauthorized changes to software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software are detected. Typical: alert the security operations team, restore the approved version, and handle an unauthorized change as a suspected incident]</w:t>
      </w:r>
      <w:r>
        <w:t xml:space="preserve">. (SI-7b)</w:t>
      </w:r>
    </w:p>
    <w:p>
      <w:pPr>
        <w:pStyle w:val="Compact"/>
        <w:numPr>
          <w:ilvl w:val="0"/>
          <w:numId w:val="1016"/>
        </w:numPr>
      </w:pPr>
      <w:r>
        <w:t xml:space="preserve">When unauthorized changes to firmware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firmware are detected. Typical: alert the security operations team, restore the approved firmware, and handle an unauthorized change as a suspected incident]</w:t>
      </w:r>
      <w:r>
        <w:t xml:space="preserve">. (SI-7b)</w:t>
      </w:r>
    </w:p>
    <w:p>
      <w:pPr>
        <w:pStyle w:val="Compact"/>
        <w:numPr>
          <w:ilvl w:val="0"/>
          <w:numId w:val="1016"/>
        </w:numPr>
      </w:pPr>
      <w:r>
        <w:t xml:space="preserve">When unauthorized changes to information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information are detected. Typical: alert the security operations team and the information owner, restore the information from a trusted source or backup, and handle an unauthorized change as a suspected incident]</w:t>
      </w:r>
      <w:r>
        <w:t xml:space="preserve">. (SI-7b)</w:t>
      </w:r>
    </w:p>
    <w:bookmarkEnd w:id="37"/>
    <w:bookmarkStart w:id="38" w:name="integrity-checks-si-71"/>
    <w:p>
      <w:pPr>
        <w:pStyle w:val="Heading3"/>
      </w:pPr>
      <w:r>
        <w:t xml:space="preserve">Integrity checks (SI-7(1))</w:t>
      </w:r>
    </w:p>
    <w:p>
      <w:pPr>
        <w:pStyle w:val="Compact"/>
        <w:numPr>
          <w:ilvl w:val="0"/>
          <w:numId w:val="1017"/>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software on which an integrity check is to be performed. Typical: the software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update or change to the software, and at least weekly]</w:t>
      </w:r>
      <w:r>
        <w:t xml:space="preserve">. (SI-7(1))</w:t>
      </w:r>
    </w:p>
    <w:p>
      <w:pPr>
        <w:pStyle w:val="Compact"/>
        <w:numPr>
          <w:ilvl w:val="0"/>
          <w:numId w:val="1017"/>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firmware on which an integrity check is to be performed. Typical: the firmware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firmware update, and at least monthly]</w:t>
      </w:r>
      <w:r>
        <w:t xml:space="preserve">. (SI-7(1))</w:t>
      </w:r>
    </w:p>
    <w:p>
      <w:pPr>
        <w:pStyle w:val="Compact"/>
        <w:numPr>
          <w:ilvl w:val="0"/>
          <w:numId w:val="1017"/>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information on which an integrity check is to be performed. Typical: the information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after each authorized change to the information, and at least daily]</w:t>
      </w:r>
      <w:r>
        <w:t xml:space="preserve">. (SI-7(1))</w:t>
      </w:r>
    </w:p>
    <w:bookmarkEnd w:id="38"/>
    <w:bookmarkStart w:id="39" w:name="X2f1cd96a2cb86d3905abc869a6e0db23cd2262c"/>
    <w:p>
      <w:pPr>
        <w:pStyle w:val="Heading3"/>
      </w:pPr>
      <w:r>
        <w:t xml:space="preserve">Integration of detection and response (SI-7(7))</w:t>
      </w:r>
    </w:p>
    <w:p>
      <w:pPr>
        <w:pStyle w:val="Compact"/>
        <w:numPr>
          <w:ilvl w:val="0"/>
          <w:numId w:val="1018"/>
        </w:numPr>
      </w:pPr>
      <w:r>
        <w:t xml:space="preserve">The</w:t>
      </w:r>
      <w:r>
        <w:t xml:space="preserve"> </w:t>
      </w:r>
      <w:r>
        <w:rPr>
          <w:rStyle w:val="Fill-in"/>
        </w:rPr>
        <w:t xml:space="preserve">[System owner]</w:t>
      </w:r>
      <w:r>
        <w:t xml:space="preserve"> </w:t>
      </w:r>
      <w:r>
        <w:t xml:space="preserve">shall incorporate the detection of the following unauthorized changes into the organization’s incident response capability:</w:t>
      </w:r>
      <w:r>
        <w:t xml:space="preserve"> </w:t>
      </w:r>
      <w:r>
        <w:rPr>
          <w:rStyle w:val="Fill-in"/>
        </w:rPr>
        <w:t xml:space="preserve">[Fill in: security-relevant changes to the system. Typical: unauthorized changes to operating system and application files, security configuration settings, firmware and audit logging settings]</w:t>
      </w:r>
      <w:r>
        <w:t xml:space="preserve">. (SI-7(7))</w:t>
      </w:r>
    </w:p>
    <w:bookmarkEnd w:id="39"/>
    <w:bookmarkStart w:id="42" w:name="spam-protection-si-8"/>
    <w:p>
      <w:pPr>
        <w:pStyle w:val="Heading3"/>
      </w:pPr>
      <w:r>
        <w:t xml:space="preserve">Spam protection (SI-8)</w:t>
      </w:r>
    </w:p>
    <w:p>
      <w:pPr>
        <w:pStyle w:val="Compact"/>
        <w:numPr>
          <w:ilvl w:val="0"/>
          <w:numId w:val="1019"/>
        </w:numPr>
      </w:pPr>
      <w:r>
        <w:t xml:space="preserve">The</w:t>
      </w:r>
      <w:r>
        <w:t xml:space="preserve"> </w:t>
      </w:r>
      <w:r>
        <w:rPr>
          <w:rStyle w:val="Fill-in"/>
        </w:rPr>
        <w:t xml:space="preserve">[System owner]</w:t>
      </w:r>
      <w:r>
        <w:t xml:space="preserve"> </w:t>
      </w:r>
      <w:r>
        <w:t xml:space="preserve">shall employ spam protection mechanisms at system entry and exit points to detect and act on unsolicited messages. (SI-8a)</w:t>
      </w:r>
    </w:p>
    <w:p>
      <w:pPr>
        <w:pStyle w:val="Compact"/>
        <w:numPr>
          <w:ilvl w:val="0"/>
          <w:numId w:val="1019"/>
        </w:numPr>
      </w:pPr>
      <w:r>
        <w:t xml:space="preserve">The</w:t>
      </w:r>
      <w:r>
        <w:t xml:space="preserve"> </w:t>
      </w:r>
      <w:r>
        <w:rPr>
          <w:rStyle w:val="Fill-in"/>
        </w:rPr>
        <w:t xml:space="preserve">[System owner]</w:t>
      </w:r>
      <w:r>
        <w:t xml:space="preserve"> </w:t>
      </w:r>
      <w:r>
        <w:t xml:space="preserve">shall update spam protection mechanisms when new releases are available, in accordance with the organization’s configuration management policy and procedures. (SI-8b)</w:t>
      </w:r>
    </w:p>
    <w:bookmarkStart w:id="41" w:name="federal-systems-4"/>
    <w:p>
      <w:pPr>
        <w:pStyle w:val="Heading4"/>
      </w:pPr>
      <w:r>
        <w:t xml:space="preserve">Federal systems</w:t>
      </w:r>
    </w:p>
    <w:p>
      <w:pPr>
        <w:pStyle w:val="FirstParagraph"/>
      </w:pPr>
      <w:r>
        <w:t xml:space="preserve">CISA</w:t>
      </w:r>
      <w:r>
        <w:t xml:space="preserve"> </w:t>
      </w:r>
      <w:hyperlink r:id="rId40">
        <w:r>
          <w:rPr>
            <w:rStyle w:val="Hyperlink"/>
          </w:rPr>
          <w:t xml:space="preserve">BOD 18-01</w:t>
        </w:r>
      </w:hyperlink>
      <w:r>
        <w:t xml:space="preserve">, Enhance Email and Web Security (October 16, 2017), requires federal civilian agencies to have valid SPF and DMARC records for all second-level agency domains, to set a DMARC policy of</w:t>
      </w:r>
      <w:r>
        <w:t xml:space="preserve"> </w:t>
      </w:r>
      <w:r>
        <w:t xml:space="preserve">“reject”</w:t>
      </w:r>
      <w:r>
        <w:t xml:space="preserve"> </w:t>
      </w:r>
      <w:r>
        <w:t xml:space="preserve">for all second-level domains and mail-sending hosts, and to add the address the directive designates (</w:t>
      </w:r>
      <w:r>
        <w:rPr>
          <w:rStyle w:val="VerbatimChar"/>
        </w:rPr>
        <w:t xml:space="preserve">reports@dmarc.cyber.dhs.gov</w:t>
      </w:r>
      <w:r>
        <w:t xml:space="preserve">) as a recipient of DMARC aggregate reports. As of September 2026.</w:t>
      </w:r>
    </w:p>
    <w:p>
      <w:pPr>
        <w:pStyle w:val="Compact"/>
        <w:numPr>
          <w:ilvl w:val="0"/>
          <w:numId w:val="1020"/>
        </w:numPr>
      </w:pPr>
      <w:r>
        <w:t xml:space="preserve">The</w:t>
      </w:r>
      <w:r>
        <w:t xml:space="preserve"> </w:t>
      </w:r>
      <w:r>
        <w:rPr>
          <w:rStyle w:val="Fill-in"/>
        </w:rPr>
        <w:t xml:space="preserve">[System owner]</w:t>
      </w:r>
      <w:r>
        <w:t xml:space="preserve"> </w:t>
      </w:r>
      <w:r>
        <w:t xml:space="preserve">shall ensure each second-level domain the system uses has valid SPF and DMARC records, with a DMARC policy of reject for the domain and its mail-sending hosts, as CISA BOD 18-01 requires. (SI-8a)</w:t>
      </w:r>
    </w:p>
    <w:p>
      <w:pPr>
        <w:pStyle w:val="Compact"/>
        <w:numPr>
          <w:ilvl w:val="0"/>
          <w:numId w:val="1020"/>
        </w:numPr>
      </w:pPr>
      <w:r>
        <w:t xml:space="preserve">The</w:t>
      </w:r>
      <w:r>
        <w:t xml:space="preserve"> </w:t>
      </w:r>
      <w:r>
        <w:rPr>
          <w:rStyle w:val="Fill-in"/>
        </w:rPr>
        <w:t xml:space="preserve">[System owner]</w:t>
      </w:r>
      <w:r>
        <w:t xml:space="preserve"> </w:t>
      </w:r>
      <w:r>
        <w:t xml:space="preserve">shall include</w:t>
      </w:r>
      <w:r>
        <w:t xml:space="preserve"> </w:t>
      </w:r>
      <w:r>
        <w:rPr>
          <w:rStyle w:val="VerbatimChar"/>
        </w:rPr>
        <w:t xml:space="preserve">reports@dmarc.cyber.dhs.gov</w:t>
      </w:r>
      <w:r>
        <w:t xml:space="preserve"> </w:t>
      </w:r>
      <w:r>
        <w:t xml:space="preserve">as a recipient of the domain’s DMARC aggregate reports, as CISA BOD 18-01 requires. (SI-8a)</w:t>
      </w:r>
    </w:p>
    <w:bookmarkEnd w:id="41"/>
    <w:bookmarkEnd w:id="42"/>
    <w:bookmarkStart w:id="43" w:name="automatic-updates-si-82"/>
    <w:p>
      <w:pPr>
        <w:pStyle w:val="Heading3"/>
      </w:pPr>
      <w:r>
        <w:t xml:space="preserve">Automatic updates (SI-8(2))</w:t>
      </w:r>
    </w:p>
    <w:p>
      <w:pPr>
        <w:pStyle w:val="Compact"/>
        <w:numPr>
          <w:ilvl w:val="0"/>
          <w:numId w:val="1021"/>
        </w:numPr>
      </w:pPr>
      <w:r>
        <w:t xml:space="preserve">The</w:t>
      </w:r>
      <w:r>
        <w:t xml:space="preserve"> </w:t>
      </w:r>
      <w:r>
        <w:rPr>
          <w:rStyle w:val="Fill-in"/>
        </w:rPr>
        <w:t xml:space="preserve">[System owner]</w:t>
      </w:r>
      <w:r>
        <w:t xml:space="preserve"> </w:t>
      </w:r>
      <w:r>
        <w:t xml:space="preserve">shall ensure spam protection mechanisms are updated automatically</w:t>
      </w:r>
      <w:r>
        <w:t xml:space="preserve"> </w:t>
      </w:r>
      <w:r>
        <w:rPr>
          <w:rStyle w:val="Fill-in"/>
        </w:rPr>
        <w:t xml:space="preserve">[Fill in: the frequency at which to automatically update spam protection mechanisms. Typical: as the vendor releases updates, and at least daily]</w:t>
      </w:r>
      <w:r>
        <w:t xml:space="preserve">. (SI-8(2))</w:t>
      </w:r>
    </w:p>
    <w:bookmarkEnd w:id="43"/>
    <w:bookmarkStart w:id="44" w:name="information-input-validation-si-10"/>
    <w:p>
      <w:pPr>
        <w:pStyle w:val="Heading3"/>
      </w:pPr>
      <w:r>
        <w:t xml:space="preserve">Information input validation (SI-10)</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system checks the validity of</w:t>
      </w:r>
      <w:r>
        <w:t xml:space="preserve"> </w:t>
      </w:r>
      <w:r>
        <w:rPr>
          <w:rStyle w:val="Fill-in"/>
        </w:rPr>
        <w:t xml:space="preserve">[Fill in: information inputs to the system requiring validity checks. Typical: all inputs from users, external systems and interfaces, including web forms, API requests, file uploads and query parameters]</w:t>
      </w:r>
      <w:r>
        <w:t xml:space="preserve">. (SI-10)</w:t>
      </w:r>
    </w:p>
    <w:bookmarkEnd w:id="44"/>
    <w:bookmarkStart w:id="45" w:name="error-handling-si-11"/>
    <w:p>
      <w:pPr>
        <w:pStyle w:val="Heading3"/>
      </w:pPr>
      <w:r>
        <w:t xml:space="preserve">Error handling (SI-11)</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generates error messages that provide the information needed for corrective action without revealing information that could be exploited. (SI-11a)</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reveals detailed error messages only to</w:t>
      </w:r>
      <w:r>
        <w:t xml:space="preserve"> </w:t>
      </w:r>
      <w:r>
        <w:rPr>
          <w:rStyle w:val="Fill-in"/>
        </w:rPr>
        <w:t xml:space="preserve">[Fill in: personnel or roles to whom error messages are to be revealed. Typical: system administrators and developers with a need to know, through the system’s logs]</w:t>
      </w:r>
      <w:r>
        <w:t xml:space="preserve">. (SI-11b)</w:t>
      </w:r>
    </w:p>
    <w:bookmarkEnd w:id="45"/>
    <w:bookmarkStart w:id="50" w:name="Xff109d2c993c4421f257522c86596c85b62962b"/>
    <w:p>
      <w:pPr>
        <w:pStyle w:val="Heading3"/>
      </w:pPr>
      <w:r>
        <w:t xml:space="preserve">Information management and retention (SI-12)</w:t>
      </w:r>
    </w:p>
    <w:p>
      <w:pPr>
        <w:pStyle w:val="Compact"/>
        <w:numPr>
          <w:ilvl w:val="0"/>
          <w:numId w:val="1024"/>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024"/>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024"/>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49" w:name="federal-systems-5"/>
    <w:p>
      <w:pPr>
        <w:pStyle w:val="Heading4"/>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46">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47">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48">
        <w:r>
          <w:rPr>
            <w:rStyle w:val="Hyperlink"/>
          </w:rPr>
          <w:t xml:space="preserve">44 U.S.C. § 3303a(d)</w:t>
        </w:r>
      </w:hyperlink>
      <w:r>
        <w:t xml:space="preserve">). As of September 2026.</w:t>
      </w:r>
    </w:p>
    <w:p>
      <w:pPr>
        <w:pStyle w:val="Compact"/>
        <w:numPr>
          <w:ilvl w:val="0"/>
          <w:numId w:val="1025"/>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49"/>
    <w:bookmarkEnd w:id="50"/>
    <w:bookmarkStart w:id="51" w:name="memory-protection-si-16"/>
    <w:p>
      <w:pPr>
        <w:pStyle w:val="Heading3"/>
      </w:pPr>
      <w:r>
        <w:t xml:space="preserve">Memory protection (SI-16)</w:t>
      </w:r>
    </w:p>
    <w:p>
      <w:pPr>
        <w:pStyle w:val="Compact"/>
        <w:numPr>
          <w:ilvl w:val="0"/>
          <w:numId w:val="1026"/>
        </w:numPr>
      </w:pPr>
      <w:r>
        <w:t xml:space="preserve">The</w:t>
      </w:r>
      <w:r>
        <w:t xml:space="preserve"> </w:t>
      </w:r>
      <w:r>
        <w:rPr>
          <w:rStyle w:val="Fill-in"/>
        </w:rPr>
        <w:t xml:space="preserve">[System owner]</w:t>
      </w:r>
      <w:r>
        <w:t xml:space="preserve"> </w:t>
      </w:r>
      <w:r>
        <w:t xml:space="preserve">shall implement the following controls to protect the system memory from unauthorized code execution:</w:t>
      </w:r>
      <w:r>
        <w:t xml:space="preserve"> </w:t>
      </w:r>
      <w:r>
        <w:rPr>
          <w:rStyle w:val="Fill-in"/>
        </w:rPr>
        <w:t xml:space="preserve">[Fill in: controls to be implemented to protect the system memory from unauthorized code execution. Typical: data execution prevention and address space layout randomization, enforced by the operating system and hardware]</w:t>
      </w:r>
      <w:r>
        <w:t xml:space="preserve">. (SI-16)</w:t>
      </w:r>
    </w:p>
    <w:bookmarkEnd w:id="51"/>
    <w:bookmarkEnd w:id="52"/>
    <w:bookmarkStart w:id="55" w:name="review-and-update"/>
    <w:p>
      <w:pPr>
        <w:pStyle w:val="Heading2"/>
      </w:pPr>
      <w:r>
        <w:t xml:space="preserve">Review and update</w:t>
      </w:r>
    </w:p>
    <w:p>
      <w:pPr>
        <w:pStyle w:val="Compact"/>
        <w:numPr>
          <w:ilvl w:val="0"/>
          <w:numId w:val="1027"/>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information integrity policy is reviewed and updated. Typical: annually]</w:t>
      </w:r>
      <w:r>
        <w:t xml:space="preserve"> </w:t>
      </w:r>
      <w:r>
        <w:t xml:space="preserve">and following</w:t>
      </w:r>
      <w:r>
        <w:t xml:space="preserve"> </w:t>
      </w:r>
      <w:r>
        <w:rPr>
          <w:rStyle w:val="Fill-in"/>
        </w:rPr>
        <w:t xml:space="preserve">[Fill in: events that would require the current system and information integrity policy to be reviewed and updated. Typical: assessment or audit findings, security incidents or breaches, and changes in applicable laws, executive orders, directives, regulations, policies, standards or guidelines]</w:t>
      </w:r>
      <w:r>
        <w:t xml:space="preserve">. (SI-1c.1)</w:t>
      </w:r>
    </w:p>
    <w:p>
      <w:pPr>
        <w:pStyle w:val="Compact"/>
        <w:numPr>
          <w:ilvl w:val="0"/>
          <w:numId w:val="1027"/>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information integrity procedures are reviewed and updated. Typical: annually]</w:t>
      </w:r>
      <w:r>
        <w:t xml:space="preserve"> </w:t>
      </w:r>
      <w:r>
        <w:t xml:space="preserve">and following</w:t>
      </w:r>
      <w:r>
        <w:t xml:space="preserve"> </w:t>
      </w:r>
      <w:r>
        <w:rPr>
          <w:rStyle w:val="Fill-in"/>
        </w:rPr>
        <w:t xml:space="preserve">[Fill in: events that would require the system and information integrity procedures to be reviewed and updated. Typical: the same events as the policy, and changes to the systems, tools or services the procedures describe]</w:t>
      </w:r>
      <w:r>
        <w:t xml:space="preserve">. (SI-1c.2)</w:t>
      </w:r>
    </w:p>
    <w:bookmarkStart w:id="54" w:name="federal-systems-6"/>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3">
        <w:r>
          <w:rPr>
            <w:rStyle w:val="Hyperlink"/>
          </w:rPr>
          <w:t xml:space="preserve">44 U.S.C. § 3554</w:t>
        </w:r>
      </w:hyperlink>
      <w:r>
        <w:t xml:space="preserve">, Federal agency responsibilities) and</w:t>
      </w:r>
      <w:r>
        <w:t xml:space="preserve"> </w:t>
      </w:r>
      <w:hyperlink r:id="rId53">
        <w:r>
          <w:rPr>
            <w:rStyle w:val="Hyperlink"/>
          </w:rPr>
          <w:t xml:space="preserve">OMB Circular A-130</w:t>
        </w:r>
      </w:hyperlink>
      <w:r>
        <w:t xml:space="preserve">, Appendix I, Responsibilities for Protecting and Managing Federal Information Resources.</w:t>
      </w:r>
    </w:p>
    <w:p>
      <w:pPr>
        <w:pStyle w:val="Compact"/>
        <w:numPr>
          <w:ilvl w:val="0"/>
          <w:numId w:val="1028"/>
        </w:numPr>
      </w:pPr>
      <w:r>
        <w:t xml:space="preserve">Where the agency’s organization-wide policy sets a value for a parameter in this policy, each system shall use that value or a stricter one. (SI-1a.1(b))</w:t>
      </w:r>
    </w:p>
    <w:bookmarkEnd w:id="54"/>
    <w:bookmarkEnd w:id="55"/>
    <w:bookmarkEnd w:id="5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Information Integrity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46" Target="https://uscode.house.gov/view.xhtml?req=granuleid:USC-prelim-title44-section3101&amp;num=0&amp;edition=prelim" TargetMode="External" /><Relationship Type="http://schemas.openxmlformats.org/officeDocument/2006/relationships/hyperlink" Id="rId48" Target="https://uscode.house.gov/view.xhtml?req=granuleid:USC-prelim-title44-section3303a&amp;num=0&amp;edition=prelim" TargetMode="External" /><Relationship Type="http://schemas.openxmlformats.org/officeDocument/2006/relationships/hyperlink" Id="rId47" Target="https://uscode.house.gov/view.xhtml?req=granuleid:USC-prelim-title44-section3314&amp;num=0&amp;edition=prelim" TargetMode="External" /><Relationship Type="http://schemas.openxmlformats.org/officeDocument/2006/relationships/hyperlink" Id="rId33" Target="https://uscode.house.gov/view.xhtml?req=granuleid:USC-prelim-title44-section3554&amp;num=0&amp;edition=prelim" TargetMode="External" /><Relationship Type="http://schemas.openxmlformats.org/officeDocument/2006/relationships/hyperlink" Id="rId34" Target="https://www.cisa.gov/directives" TargetMode="External" /><Relationship Type="http://schemas.openxmlformats.org/officeDocument/2006/relationships/hyperlink" Id="rId40" Target="https://www.cisa.gov/news-events/directives/bod-18-01-enhance-email-and-web-security" TargetMode="External" /><Relationship Type="http://schemas.openxmlformats.org/officeDocument/2006/relationships/hyperlink" Id="rId22" Target="https://www.cisa.gov/news-events/directives/bod-23-01-improving-asset-visibility-and-vulnerability-detection-federal-networks" TargetMode="External" /><Relationship Type="http://schemas.openxmlformats.org/officeDocument/2006/relationships/hyperlink" Id="rId19" Target="https://www.cisa.gov/news-events/directives/bod-26-04-prioritizing-security-updates-based-risk" TargetMode="External" /><Relationship Type="http://schemas.openxmlformats.org/officeDocument/2006/relationships/hyperlink" Id="rId27" Target="https://www.cisa.gov/resources-tools/resources/logging-reference-architecture" TargetMode="External" /><Relationship Type="http://schemas.openxmlformats.org/officeDocument/2006/relationships/hyperlink" Id="rId26" Target="https://www.whitehouse.gov/wp-content/uploads/2026/05/M-26-14-Ensuring-Effective-and-Efficient-Agency-Logging-and-Network-Visibility-to-Defend-Against-Evolving-Cyber-Threats.pdf" TargetMode="External" /><Relationship Type="http://schemas.openxmlformats.org/officeDocument/2006/relationships/hyperlink" Id="rId5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46" Target="https://uscode.house.gov/view.xhtml?req=granuleid:USC-prelim-title44-section3101&amp;num=0&amp;edition=prelim" TargetMode="External" /><Relationship Type="http://schemas.openxmlformats.org/officeDocument/2006/relationships/hyperlink" Id="rId48" Target="https://uscode.house.gov/view.xhtml?req=granuleid:USC-prelim-title44-section3303a&amp;num=0&amp;edition=prelim" TargetMode="External" /><Relationship Type="http://schemas.openxmlformats.org/officeDocument/2006/relationships/hyperlink" Id="rId47" Target="https://uscode.house.gov/view.xhtml?req=granuleid:USC-prelim-title44-section3314&amp;num=0&amp;edition=prelim" TargetMode="External" /><Relationship Type="http://schemas.openxmlformats.org/officeDocument/2006/relationships/hyperlink" Id="rId33" Target="https://uscode.house.gov/view.xhtml?req=granuleid:USC-prelim-title44-section3554&amp;num=0&amp;edition=prelim" TargetMode="External" /><Relationship Type="http://schemas.openxmlformats.org/officeDocument/2006/relationships/hyperlink" Id="rId34" Target="https://www.cisa.gov/directives" TargetMode="External" /><Relationship Type="http://schemas.openxmlformats.org/officeDocument/2006/relationships/hyperlink" Id="rId40" Target="https://www.cisa.gov/news-events/directives/bod-18-01-enhance-email-and-web-security" TargetMode="External" /><Relationship Type="http://schemas.openxmlformats.org/officeDocument/2006/relationships/hyperlink" Id="rId22" Target="https://www.cisa.gov/news-events/directives/bod-23-01-improving-asset-visibility-and-vulnerability-detection-federal-networks" TargetMode="External" /><Relationship Type="http://schemas.openxmlformats.org/officeDocument/2006/relationships/hyperlink" Id="rId19" Target="https://www.cisa.gov/news-events/directives/bod-26-04-prioritizing-security-updates-based-risk" TargetMode="External" /><Relationship Type="http://schemas.openxmlformats.org/officeDocument/2006/relationships/hyperlink" Id="rId27" Target="https://www.cisa.gov/resources-tools/resources/logging-reference-architecture" TargetMode="External" /><Relationship Type="http://schemas.openxmlformats.org/officeDocument/2006/relationships/hyperlink" Id="rId26" Target="https://www.whitehouse.gov/wp-content/uploads/2026/05/M-26-14-Ensuring-Effective-and-Efficient-Agency-Logging-and-Network-Visibility-to-Defend-Against-Evolving-Cyber-Threats.pdf" TargetMode="External" /><Relationship Type="http://schemas.openxmlformats.org/officeDocument/2006/relationships/hyperlink" Id="rId5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