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system-and-information-integrity-policy"/>
    <w:p>
      <w:pPr>
        <w:pStyle w:val="Heading1"/>
      </w:pPr>
      <w:r>
        <w:t xml:space="preserve">System and Information Integrity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Privacy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https://kston83.github.io/nist-guide/templates/policies/si/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The sections before and after Policy statements meet SI-1, which asks for a policy that addresses purpose, scope, roles, responsibilities, management commitment, coordination and compliance, plus procedures, dissemination, a designated official and a review cycle. Assessors check each element, so keep every section even when it is short. Each statement cites the SI-1 item it meets. If you adopt several family policies, the same sections repeat in each; that is expected, and it lets each policy stand alone.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System and Information Integrity, and who is accountable for meeting those requirements. (SI-1a.1(a))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(SI-1a.1(a))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(SI-1a.1(a))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system and information integrity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(SI-1b)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(SI-1a.1(a))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(SI-1a.1(a))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(SI-1a.1(a))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(SI-1a.1(a))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(SI-1a.1(b))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(SI-1a.1(a))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(SI-1a.1(a))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(SI-1a.1(a))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system and information integrity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(SI-1a.2)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system and information integrity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system and information integrity policy is to be disseminated. Typical: everyone within its scope, through the policy library]</w:t>
      </w:r>
      <w:r>
        <w:t xml:space="preserve">. (SI-1a)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system and information integrity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system and information integrity procedures are to be disseminated. Typical: the people who carry them out, and the system owners]</w:t>
      </w:r>
      <w:r>
        <w:t xml:space="preserve">. (SI-1a)</w:t>
      </w:r>
    </w:p>
    <w:bookmarkEnd w:id="18"/>
    <w:bookmarkStart w:id="34" w:name="policy-statements"/>
    <w:p>
      <w:pPr>
        <w:pStyle w:val="Heading2"/>
      </w:pPr>
      <w:r>
        <w:t xml:space="preserve">Policy statements</w:t>
      </w:r>
    </w:p>
    <w:p>
      <w:pPr>
        <w:pStyle w:val="Guidance"/>
      </w:pPr>
      <w:r>
        <w:t xml:space="preserve">Each statement below comes from the clause for one control or enhancement in the chosen baseline. The reference at the end of each statement names the control item it meets.</w:t>
      </w:r>
    </w:p>
    <w:bookmarkStart w:id="23" w:name="Xff109d2c993c4421f257522c86596c85b62962b"/>
    <w:p>
      <w:pPr>
        <w:pStyle w:val="Heading3"/>
      </w:pPr>
      <w:r>
        <w:t xml:space="preserve">Information management and retention (SI-12)</w:t>
      </w:r>
    </w:p>
    <w:p>
      <w:pPr>
        <w:pStyle w:val="Guidance"/>
      </w:pPr>
      <w:r>
        <w:t xml:space="preserve">Retention applies to everything the system holds or produces: records, logs, backups, reports and exports. Records management usually owns the retention schedule; the system owner makes the system follow it, including deletion at the end of the period. For personally identifiable information, the retention periods also go in the privacy impact assessment.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manage and retain information within the system, and information output from the system, in accordance with applicable laws, executive orders, directives, regulations, policies, standards, guidelines and operational requirements. (SI-12)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document the retention period and the authority for it for each type of information the system holds, drawn from the organization’s records retention schedule. (SI-12)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dispose of information when its retention period ends, unless a legal hold or an approved extension applies. (SI-12)</w:t>
      </w:r>
    </w:p>
    <w:bookmarkStart w:id="22" w:name="federal-systems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The head of each federal agency must</w:t>
      </w:r>
      <w:r>
        <w:t xml:space="preserve"> </w:t>
      </w:r>
      <w:r>
        <w:t xml:space="preserve">“make and preserve records containing adequate and proper documentation”</w:t>
      </w:r>
      <w:r>
        <w:t xml:space="preserve"> </w:t>
      </w:r>
      <w:r>
        <w:t xml:space="preserve">of the agency’s functions (</w:t>
      </w:r>
      <w:hyperlink r:id="rId19">
        <w:r>
          <w:rPr>
            <w:rStyle w:val="Hyperlink"/>
          </w:rPr>
          <w:t xml:space="preserve">44 U.S.C. § 3101</w:t>
        </w:r>
      </w:hyperlink>
      <w:r>
        <w:t xml:space="preserve">), and federal records</w:t>
      </w:r>
      <w:r>
        <w:t xml:space="preserve"> </w:t>
      </w:r>
      <w:r>
        <w:t xml:space="preserve">“may not be alienated or destroyed”</w:t>
      </w:r>
      <w:r>
        <w:t xml:space="preserve"> </w:t>
      </w:r>
      <w:r>
        <w:t xml:space="preserve">except under chapter 33 of title 44 (</w:t>
      </w:r>
      <w:hyperlink r:id="rId20">
        <w:r>
          <w:rPr>
            <w:rStyle w:val="Hyperlink"/>
          </w:rPr>
          <w:t xml:space="preserve">44 U.S.C. § 3314</w:t>
        </w:r>
      </w:hyperlink>
      <w:r>
        <w:t xml:space="preserve">): that is, under records schedules approved by the Archivist of the United States, including the General Records Schedules the Archivist issues for records common to several or all agencies (</w:t>
      </w:r>
      <w:hyperlink r:id="rId21">
        <w:r>
          <w:rPr>
            <w:rStyle w:val="Hyperlink"/>
          </w:rPr>
          <w:t xml:space="preserve">44 U.S.C. § 3303a(d)</w:t>
        </w:r>
      </w:hyperlink>
      <w:r>
        <w:t xml:space="preserve">). As of September 2026.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retain and dispose of federal records in the system only as an approved agency records schedule or a General Records Schedule allows. (SI-12)</w:t>
      </w:r>
    </w:p>
    <w:bookmarkEnd w:id="22"/>
    <w:bookmarkEnd w:id="23"/>
    <w:bookmarkStart w:id="25" w:name="Xbd8609ff669d5f2f274d0ded930c30dd8e4a283"/>
    <w:p>
      <w:pPr>
        <w:pStyle w:val="Heading3"/>
      </w:pPr>
      <w:r>
        <w:t xml:space="preserve">Limit personally identifiable information elements (SI-12(1))</w:t>
      </w:r>
    </w:p>
    <w:p>
      <w:pPr>
        <w:pStyle w:val="Guidance"/>
      </w:pPr>
      <w:r>
        <w:t xml:space="preserve">This is data minimization in the system itself: fields that are not needed are not collected, and fields no longer needed are removed. The minimization section of the</w:t>
      </w:r>
      <w:r>
        <w:t xml:space="preserve"> </w:t>
      </w:r>
      <w:hyperlink r:id="rId24">
        <w:r>
          <w:rPr>
            <w:rStyle w:val="Hyperlink"/>
          </w:rPr>
          <w:t xml:space="preserve">privacy impact assessment</w:t>
        </w:r>
      </w:hyperlink>
      <w:r>
        <w:t xml:space="preserve"> </w:t>
      </w:r>
      <w:r>
        <w:t xml:space="preserve">records the elements considered and left out. SI-12(1) is in the Privacy baseline only.</w:t>
      </w:r>
    </w:p>
    <w:p>
      <w:pPr>
        <w:pStyle w:val="Compact"/>
        <w:numPr>
          <w:ilvl w:val="0"/>
          <w:numId w:val="1006"/>
        </w:numPr>
      </w:pPr>
      <w:r>
        <w:t xml:space="preserve">For a system that processes personally identifiable information,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limit the personally identifiable information processed in the information life cycle to</w:t>
      </w:r>
      <w:r>
        <w:t xml:space="preserve"> </w:t>
      </w:r>
      <w:r>
        <w:rPr>
          <w:rStyle w:val="Fill-in"/>
        </w:rPr>
        <w:t xml:space="preserve">[Fill in: elements of personally identifiable information being processed in the information life cycle. Typical: the data elements the system’s privacy impact assessment lists as needed for its stated purposes]</w:t>
      </w:r>
      <w:r>
        <w:t xml:space="preserve">. (SI-12(1))</w:t>
      </w:r>
    </w:p>
    <w:bookmarkEnd w:id="25"/>
    <w:bookmarkStart w:id="26" w:name="Xf0526c2fc280273f86dbabba7ea406aa60c65e1"/>
    <w:p>
      <w:pPr>
        <w:pStyle w:val="Heading3"/>
      </w:pPr>
      <w:r>
        <w:t xml:space="preserve">Minimize personally identifiable information in testing, training and research (SI-12(2))</w:t>
      </w:r>
    </w:p>
    <w:p>
      <w:pPr>
        <w:pStyle w:val="Guidance"/>
      </w:pPr>
      <w:r>
        <w:t xml:space="preserve">Copies of production data in test and training environments are a common source of breaches, because those environments rarely have production’s controls. The organization-wide rules and approvals are under PM-25. SI-12(2) is in the Privacy baseline only.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 the following techniques to minimize the use of personally identifiable information for research:</w:t>
      </w:r>
      <w:r>
        <w:t xml:space="preserve"> </w:t>
      </w:r>
      <w:r>
        <w:rPr>
          <w:rStyle w:val="Fill-in"/>
        </w:rPr>
        <w:t xml:space="preserve">[Fill in: techniques used to minimize the use of personally identifiable information for research. Typical: de-identified or synthetic data, or where the research needs identifiable data, only the elements the senior privacy official approves]</w:t>
      </w:r>
      <w:r>
        <w:t xml:space="preserve">. (SI-12(2))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 the following techniques to minimize the use of personally identifiable information for testing:</w:t>
      </w:r>
      <w:r>
        <w:t xml:space="preserve"> </w:t>
      </w:r>
      <w:r>
        <w:rPr>
          <w:rStyle w:val="Fill-in"/>
        </w:rPr>
        <w:t xml:space="preserve">[Fill in: techniques used to minimize the use of personally identifiable information for testing. Typical: synthetic data, or masked copies of production data]</w:t>
      </w:r>
      <w:r>
        <w:t xml:space="preserve">. (SI-12(2))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 the following techniques to minimize the use of personally identifiable information for training:</w:t>
      </w:r>
      <w:r>
        <w:t xml:space="preserve"> </w:t>
      </w:r>
      <w:r>
        <w:rPr>
          <w:rStyle w:val="Fill-in"/>
        </w:rPr>
        <w:t xml:space="preserve">[Fill in: techniques used to minimize the use of personally identifiable information for training. Typical: fictitious or synthetic records]</w:t>
      </w:r>
      <w:r>
        <w:t xml:space="preserve">. (SI-12(2))</w:t>
      </w:r>
    </w:p>
    <w:bookmarkEnd w:id="26"/>
    <w:bookmarkStart w:id="27" w:name="information-disposal-si-123"/>
    <w:p>
      <w:pPr>
        <w:pStyle w:val="Heading3"/>
      </w:pPr>
      <w:r>
        <w:t xml:space="preserve">Information disposal (SI-12(3))</w:t>
      </w:r>
    </w:p>
    <w:p>
      <w:pPr>
        <w:pStyle w:val="Guidance"/>
      </w:pPr>
      <w:r>
        <w:t xml:space="preserve">Disposal at the end of the retention period covers every copy, including backups, exports and copies held by service providers. Sanitizing the media itself is MP-6. SI-12(3) is in the Privacy baseline only.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 the following techniques to dispose of information following the retention period:</w:t>
      </w:r>
      <w:r>
        <w:t xml:space="preserve"> </w:t>
      </w:r>
      <w:r>
        <w:rPr>
          <w:rStyle w:val="Fill-in"/>
        </w:rPr>
        <w:t xml:space="preserve">[Fill in: techniques used to dispose of information following the retention period. Typical: deletion by the system’s automated retention jobs, and shredding for paper output]</w:t>
      </w:r>
      <w:r>
        <w:t xml:space="preserve">. (SI-12(3))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 the following techniques to destroy information following the retention period:</w:t>
      </w:r>
      <w:r>
        <w:t xml:space="preserve"> </w:t>
      </w:r>
      <w:r>
        <w:rPr>
          <w:rStyle w:val="Fill-in"/>
        </w:rPr>
        <w:t xml:space="preserve">[Fill in: techniques used to destroy information following the retention period. Typical: destruction of storage media by shredding, disintegration or incineration, as the media sanitization procedure sets out]</w:t>
      </w:r>
      <w:r>
        <w:t xml:space="preserve">. (SI-12(3))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 the following techniques to erase information following the retention period:</w:t>
      </w:r>
      <w:r>
        <w:t xml:space="preserve"> </w:t>
      </w:r>
      <w:r>
        <w:rPr>
          <w:rStyle w:val="Fill-in"/>
        </w:rPr>
        <w:t xml:space="preserve">[Fill in: techniques used to erase information following the retention period. Typical: cryptographic erase or overwriting, as the media sanitization procedure sets out]</w:t>
      </w:r>
      <w:r>
        <w:t xml:space="preserve">. (SI-12(3))</w:t>
      </w:r>
    </w:p>
    <w:bookmarkEnd w:id="27"/>
    <w:bookmarkStart w:id="30" w:name="X2f682870ca3ce6f67acb281e1940d00b3fb993e"/>
    <w:p>
      <w:pPr>
        <w:pStyle w:val="Heading3"/>
      </w:pPr>
      <w:r>
        <w:t xml:space="preserve">Personally identifiable information quality operations (SI-18)</w:t>
      </w:r>
    </w:p>
    <w:p>
      <w:pPr>
        <w:pStyle w:val="Guidance"/>
      </w:pPr>
      <w:r>
        <w:t xml:space="preserve">Checks at collection include validating formats and confirming information with the individual. Periodic checks compare records with authoritative sources and flag records past their retention period. The organization-wide quality policies are under PM-22. SI-18 is in the Privacy baseline only.</w:t>
      </w:r>
    </w:p>
    <w:p>
      <w:pPr>
        <w:pStyle w:val="Compact"/>
        <w:numPr>
          <w:ilvl w:val="0"/>
          <w:numId w:val="1009"/>
        </w:numPr>
      </w:pPr>
      <w:r>
        <w:t xml:space="preserve">For a system that processes personally identifiable information,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check the accuracy of the personally identifiable information across the information life cycle</w:t>
      </w:r>
      <w:r>
        <w:t xml:space="preserve"> </w:t>
      </w:r>
      <w:r>
        <w:rPr>
          <w:rStyle w:val="Fill-in"/>
        </w:rPr>
        <w:t xml:space="preserve">[Fill in: the frequency at which to check the accuracy of personally identifiable information across the information life cycle. Typical: at collection, and at least annually]</w:t>
      </w:r>
      <w:r>
        <w:t xml:space="preserve">. (SI-18a)</w:t>
      </w:r>
    </w:p>
    <w:p>
      <w:pPr>
        <w:pStyle w:val="Compact"/>
        <w:numPr>
          <w:ilvl w:val="0"/>
          <w:numId w:val="1009"/>
        </w:numPr>
      </w:pPr>
      <w:r>
        <w:t xml:space="preserve">For such a system,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check the relevance of the personally identifiable information across the information life cycle</w:t>
      </w:r>
      <w:r>
        <w:t xml:space="preserve"> </w:t>
      </w:r>
      <w:r>
        <w:rPr>
          <w:rStyle w:val="Fill-in"/>
        </w:rPr>
        <w:t xml:space="preserve">[Fill in: the frequency at which to check the relevance of personally identifiable information across the information life cycle. Typical: at least annually, with the review of the privacy impact assessment]</w:t>
      </w:r>
      <w:r>
        <w:t xml:space="preserve">. (SI-18a)</w:t>
      </w:r>
    </w:p>
    <w:p>
      <w:pPr>
        <w:pStyle w:val="Compact"/>
        <w:numPr>
          <w:ilvl w:val="0"/>
          <w:numId w:val="1009"/>
        </w:numPr>
      </w:pPr>
      <w:r>
        <w:t xml:space="preserve">For such a system,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check the timeliness of the personally identifiable information across the information life cycle</w:t>
      </w:r>
      <w:r>
        <w:t xml:space="preserve"> </w:t>
      </w:r>
      <w:r>
        <w:rPr>
          <w:rStyle w:val="Fill-in"/>
        </w:rPr>
        <w:t xml:space="preserve">[Fill in: the frequency at which to check the timeliness of personally identifiable information across the information life cycle. Typical: at least annually]</w:t>
      </w:r>
      <w:r>
        <w:t xml:space="preserve">. (SI-18a)</w:t>
      </w:r>
    </w:p>
    <w:p>
      <w:pPr>
        <w:pStyle w:val="Compact"/>
        <w:numPr>
          <w:ilvl w:val="0"/>
          <w:numId w:val="1009"/>
        </w:numPr>
      </w:pPr>
      <w:r>
        <w:t xml:space="preserve">For such a system,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check the completeness of the personally identifiable information across the information life cycle</w:t>
      </w:r>
      <w:r>
        <w:t xml:space="preserve"> </w:t>
      </w:r>
      <w:r>
        <w:rPr>
          <w:rStyle w:val="Fill-in"/>
        </w:rPr>
        <w:t xml:space="preserve">[Fill in: the frequency at which to check the completeness of personally identifiable information across the information life cycle. Typical: at collection, and at least annually]</w:t>
      </w:r>
      <w:r>
        <w:t xml:space="preserve">. (SI-18a)</w:t>
      </w:r>
    </w:p>
    <w:p>
      <w:pPr>
        <w:pStyle w:val="Compact"/>
        <w:numPr>
          <w:ilvl w:val="0"/>
          <w:numId w:val="1009"/>
        </w:numPr>
      </w:pPr>
      <w:r>
        <w:t xml:space="preserve">For such a system,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correct or delete inaccurate or outdated personally identifiable information. (SI-18b)</w:t>
      </w:r>
    </w:p>
    <w:bookmarkStart w:id="29" w:name="federal-systems-1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The Privacy Act requires each agency that maintains a system of records to maintain all records used in making any determination about an individual</w:t>
      </w:r>
      <w:r>
        <w:t xml:space="preserve"> </w:t>
      </w:r>
      <w:r>
        <w:t xml:space="preserve">“with such accuracy, relevance, timeliness, and completeness as is reasonably necessary to assure fairness to the individual in the determination”</w:t>
      </w:r>
      <w:r>
        <w:t xml:space="preserve">, and, before disseminating a record to anyone other than an agency (except under subsection (b)(2)), to make reasonable efforts to assure it is accurate, complete, timely and relevant for agency purposes (</w:t>
      </w:r>
      <w:hyperlink r:id="rId28">
        <w:r>
          <w:rPr>
            <w:rStyle w:val="Hyperlink"/>
          </w:rPr>
          <w:t xml:space="preserve">5 U.S.C. § 552a(e)(5) and (e)(6)</w:t>
        </w:r>
      </w:hyperlink>
      <w:r>
        <w:t xml:space="preserve">). As of September 2026.</w:t>
      </w:r>
    </w:p>
    <w:p>
      <w:pPr>
        <w:pStyle w:val="Compact"/>
        <w:numPr>
          <w:ilvl w:val="0"/>
          <w:numId w:val="1010"/>
        </w:numPr>
      </w:pPr>
      <w:r>
        <w:t xml:space="preserve">For each system of records,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maintain records used in making determinations about individuals with the accuracy, relevance, timeliness and completeness 5 U.S.C. § 552a(e)(5) requires. (SI-18a)</w:t>
      </w:r>
    </w:p>
    <w:p>
      <w:pPr>
        <w:pStyle w:val="Compact"/>
        <w:numPr>
          <w:ilvl w:val="0"/>
          <w:numId w:val="1010"/>
        </w:numPr>
      </w:pPr>
      <w:r>
        <w:t xml:space="preserve">Before disseminating a record from a system of records to anyone other than an agency, except under 5 U.S.C. § 552a(b)(2),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make reasonable efforts to assure the record is accurate, complete, timely and relevant for agency purposes. (SI-18a)</w:t>
      </w:r>
    </w:p>
    <w:bookmarkEnd w:id="29"/>
    <w:bookmarkEnd w:id="30"/>
    <w:bookmarkStart w:id="32" w:name="individual-requests-si-184"/>
    <w:p>
      <w:pPr>
        <w:pStyle w:val="Heading3"/>
      </w:pPr>
      <w:r>
        <w:t xml:space="preserve">Individual requests (SI-18(4))</w:t>
      </w:r>
    </w:p>
    <w:p>
      <w:pPr>
        <w:pStyle w:val="Guidance"/>
      </w:pPr>
      <w:r>
        <w:t xml:space="preserve">The privacy notice tells individuals how to ask for a correction; this clause makes the system able to carry it out, including in copies shared with others where PM-22 requires notifying them. SI-18(4) is in the Privacy baseline only.</w:t>
      </w:r>
    </w:p>
    <w:p>
      <w:pPr>
        <w:pStyle w:val="Compact"/>
        <w:numPr>
          <w:ilvl w:val="0"/>
          <w:numId w:val="1011"/>
        </w:numPr>
      </w:pPr>
      <w:r>
        <w:t xml:space="preserve">For a system that processes personally identifiable information,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correct or delete personally identifiable information upon request by individuals or their designated representatives, once the request is verified and approved. (SI-18(4))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ensure each request to correct or delete personally identifiable information is answered, and that a refusal is given in writing with the reason and how to appeal. (SI-18(4))</w:t>
      </w:r>
    </w:p>
    <w:bookmarkStart w:id="31" w:name="federal-systems-2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For records in a system of records, the Privacy Act lets an individual request amendment of a record about them. The agency must acknowledge the request in writing</w:t>
      </w:r>
      <w:r>
        <w:t xml:space="preserve"> </w:t>
      </w:r>
      <w:r>
        <w:t xml:space="preserve">“not later than 10 days (excluding Saturdays, Sundays, and legal public holidays)”</w:t>
      </w:r>
      <w:r>
        <w:t xml:space="preserve"> </w:t>
      </w:r>
      <w:r>
        <w:t xml:space="preserve">after receiving it, and then promptly either make the correction or tell the individual of its refusal, the reasons, and how to request a review. A review of a refusal must be completed within 30 days, excluding Saturdays, Sundays and legal public holidays, unless the agency head extends the period for good cause (</w:t>
      </w:r>
      <w:hyperlink r:id="rId28">
        <w:r>
          <w:rPr>
            <w:rStyle w:val="Hyperlink"/>
          </w:rPr>
          <w:t xml:space="preserve">5 U.S.C. § 552a(d)(2) and (d)(3)</w:t>
        </w:r>
      </w:hyperlink>
      <w:r>
        <w:t xml:space="preserve">). Subsections (j) and (k) let an agency exempt some systems of records from these provisions by rule. As of September 2026.</w:t>
      </w:r>
    </w:p>
    <w:p>
      <w:pPr>
        <w:pStyle w:val="Compact"/>
        <w:numPr>
          <w:ilvl w:val="0"/>
          <w:numId w:val="1012"/>
        </w:numPr>
      </w:pPr>
      <w:r>
        <w:t xml:space="preserve">For each system of records, 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acknowledge each request to amend a record in writing within 10 days, excluding Saturdays, Sundays and legal public holidays, and then promptly correct the record or explain the refusal and how to request a review. (SI-18(4))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complete the review of a refused amendment within 30 days, excluding Saturdays, Sundays and legal public holidays, unless the agency head extends the period for good cause. (SI-18(4))</w:t>
      </w:r>
    </w:p>
    <w:bookmarkEnd w:id="31"/>
    <w:bookmarkEnd w:id="32"/>
    <w:bookmarkStart w:id="33" w:name="de-identification-si-19"/>
    <w:p>
      <w:pPr>
        <w:pStyle w:val="Heading3"/>
      </w:pPr>
      <w:r>
        <w:t xml:space="preserve">De-identification (SI-19)</w:t>
      </w:r>
    </w:p>
    <w:p>
      <w:pPr>
        <w:pStyle w:val="Guidance"/>
      </w:pPr>
      <w:r>
        <w:t xml:space="preserve">Removing direct identifiers is rarely enough: combinations of indirect identifiers, such as postal code, birth date and sex, can re-identify people. Evaluating effectiveness means testing for that risk, especially before a dataset is published. NIST SP 800-188, De-Identifying Government Datasets: Techniques and Governance (September 2023, final as of September 2026), describes the techniques and governance. SI-19 is in the Privacy baseline only.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remove the following elements of personally identifiable information from datasets that are to be de-identified:</w:t>
      </w:r>
      <w:r>
        <w:t xml:space="preserve"> </w:t>
      </w:r>
      <w:r>
        <w:rPr>
          <w:rStyle w:val="Fill-in"/>
        </w:rPr>
        <w:t xml:space="preserve">[Fill in: elements of personally identifiable information to be removed from datasets. Typical: direct identifiers such as names, addresses, identification numbers, contact details and full dates of birth, and any indirect identifiers the privacy review finds could re-identify individuals]</w:t>
      </w:r>
      <w:r>
        <w:t xml:space="preserve">. (SI-19a)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evaluate the effectiveness of de-identification</w:t>
      </w:r>
      <w:r>
        <w:t xml:space="preserve"> </w:t>
      </w:r>
      <w:r>
        <w:rPr>
          <w:rStyle w:val="Fill-in"/>
        </w:rPr>
        <w:t xml:space="preserve">[Fill in: the frequency at which to evaluate the effectiveness of de-identification. Typical: annually, and before each new release of a de-identified dataset]</w:t>
      </w:r>
      <w:r>
        <w:t xml:space="preserve">. (SI-19b)</w:t>
      </w:r>
    </w:p>
    <w:bookmarkEnd w:id="33"/>
    <w:bookmarkEnd w:id="34"/>
    <w:bookmarkStart w:id="38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system and information integrity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system and information integrity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system and information integrity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(SI-1c.1)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system and information integrity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system and information integrity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system and information integrity procedures to be reviewed and updated. Typical: the same events as the policy, and changes to the systems, tools or services the procedures describe]</w:t>
      </w:r>
      <w:r>
        <w:t xml:space="preserve">. (SI-1c.2)</w:t>
      </w:r>
    </w:p>
    <w:bookmarkStart w:id="37" w:name="federal-systems-3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35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36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15"/>
        </w:numPr>
      </w:pPr>
      <w:r>
        <w:t xml:space="preserve">Where the agency’s organization-wide policy sets a value for a parameter in this policy, each system shall use that value or a stricter one. (SI-1a.1(b))</w:t>
      </w:r>
    </w:p>
    <w:bookmarkEnd w:id="37"/>
    <w:bookmarkEnd w:id="38"/>
    <w:bookmarkEnd w:id="39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System and Information Integrity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si/" TargetMode="External" /><Relationship Type="http://schemas.openxmlformats.org/officeDocument/2006/relationships/hyperlink" Id="rId24" Target="https://kston83.github.io/nist-guide/templates/reports/privacy-impact-assessment/" TargetMode="External" /><Relationship Type="http://schemas.openxmlformats.org/officeDocument/2006/relationships/hyperlink" Id="rId19" Target="https://uscode.house.gov/view.xhtml?req=granuleid:USC-prelim-title44-section3101&amp;num=0&amp;edition=prelim" TargetMode="External" /><Relationship Type="http://schemas.openxmlformats.org/officeDocument/2006/relationships/hyperlink" Id="rId21" Target="https://uscode.house.gov/view.xhtml?req=granuleid:USC-prelim-title44-section3303a&amp;num=0&amp;edition=prelim" TargetMode="External" /><Relationship Type="http://schemas.openxmlformats.org/officeDocument/2006/relationships/hyperlink" Id="rId20" Target="https://uscode.house.gov/view.xhtml?req=granuleid:USC-prelim-title44-section3314&amp;num=0&amp;edition=prelim" TargetMode="External" /><Relationship Type="http://schemas.openxmlformats.org/officeDocument/2006/relationships/hyperlink" Id="rId35" Target="https://uscode.house.gov/view.xhtml?req=granuleid:USC-prelim-title44-section3554&amp;num=0&amp;edition=prelim" TargetMode="External" /><Relationship Type="http://schemas.openxmlformats.org/officeDocument/2006/relationships/hyperlink" Id="rId28" Target="https://uscode.house.gov/view.xhtml?req=granuleid:USC-prelim-title5-section552a&amp;num=0&amp;edition=prelim" TargetMode="External" /><Relationship Type="http://schemas.openxmlformats.org/officeDocument/2006/relationships/hyperlink" Id="rId36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si/" TargetMode="External" /><Relationship Type="http://schemas.openxmlformats.org/officeDocument/2006/relationships/hyperlink" Id="rId24" Target="https://kston83.github.io/nist-guide/templates/reports/privacy-impact-assessment/" TargetMode="External" /><Relationship Type="http://schemas.openxmlformats.org/officeDocument/2006/relationships/hyperlink" Id="rId19" Target="https://uscode.house.gov/view.xhtml?req=granuleid:USC-prelim-title44-section3101&amp;num=0&amp;edition=prelim" TargetMode="External" /><Relationship Type="http://schemas.openxmlformats.org/officeDocument/2006/relationships/hyperlink" Id="rId21" Target="https://uscode.house.gov/view.xhtml?req=granuleid:USC-prelim-title44-section3303a&amp;num=0&amp;edition=prelim" TargetMode="External" /><Relationship Type="http://schemas.openxmlformats.org/officeDocument/2006/relationships/hyperlink" Id="rId20" Target="https://uscode.house.gov/view.xhtml?req=granuleid:USC-prelim-title44-section3314&amp;num=0&amp;edition=prelim" TargetMode="External" /><Relationship Type="http://schemas.openxmlformats.org/officeDocument/2006/relationships/hyperlink" Id="rId35" Target="https://uscode.house.gov/view.xhtml?req=granuleid:USC-prelim-title44-section3554&amp;num=0&amp;edition=prelim" TargetMode="External" /><Relationship Type="http://schemas.openxmlformats.org/officeDocument/2006/relationships/hyperlink" Id="rId28" Target="https://uscode.house.gov/view.xhtml?req=granuleid:USC-prelim-title5-section552a&amp;num=0&amp;edition=prelim" TargetMode="External" /><Relationship Type="http://schemas.openxmlformats.org/officeDocument/2006/relationships/hyperlink" Id="rId36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