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5" w:name="supply-chain-risk-management-policy"/>
    <w:p>
      <w:pPr>
        <w:pStyle w:val="Heading1"/>
      </w:pPr>
      <w:r>
        <w:t xml:space="preserve">Supply Chain Risk Management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SR-1,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SR-1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Supply Chain Risk Management, and who is accountable for meeting those requirements. (SR-1a.1(a))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(SR-1a.1(a))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(SR-1a.1(a))</w:t>
      </w:r>
    </w:p>
    <w:p>
      <w:pPr>
        <w:pStyle w:val="Compact"/>
        <w:numPr>
          <w:ilvl w:val="0"/>
          <w:numId w:val="100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manage the development, documentation and dissemination of this policy and its procedures. (SR-1b)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(SR-1a.1(a))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(SR-1a.1(a))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(SR-1a.1(a))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(SR-1a.1(a))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(SR-1a.1(b))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(SR-1a.1(a))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(SR-1a.1(a))</w:t>
      </w:r>
    </w:p>
    <w:p>
      <w:pPr>
        <w:pStyle w:val="Compact"/>
        <w:numPr>
          <w:ilvl w:val="0"/>
          <w:numId w:val="1002"/>
        </w:numPr>
      </w:pPr>
      <w:r>
        <w:t xml:space="preserve">Violations of this policy shall be handled through the organization’s sanctions process. (SR-1a.1(a))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ensure that documented procedures exist to implement this policy and its associated controls. (SR-1a.2)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this policy to</w:t>
      </w:r>
      <w:r>
        <w:t xml:space="preserve"> </w:t>
      </w:r>
      <w:r>
        <w:rPr>
          <w:rStyle w:val="Fill-in"/>
        </w:rPr>
        <w:t xml:space="preserve">[Fill in: personnel or roles to whom supply chain risk management policy is to be disseminated to. Typical: everyone within its scope, through the policy library]</w:t>
      </w:r>
      <w:r>
        <w:t xml:space="preserve">. (SR-1a)</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supply chain risk management procedures are disseminated to. Typical: the people who carry them out, and the system owners]</w:t>
      </w:r>
      <w:r>
        <w:t xml:space="preserve">. (SR-1a)</w:t>
      </w:r>
    </w:p>
    <w:bookmarkEnd w:id="18"/>
    <w:bookmarkStart w:id="51"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supply-chain-risk-management-plan-sr-2"/>
    <w:p>
      <w:pPr>
        <w:pStyle w:val="Heading3"/>
      </w:pPr>
      <w:r>
        <w:t xml:space="preserve">Supply chain risk management plan (SR-2)</w:t>
      </w:r>
    </w:p>
    <w:p>
      <w:pPr>
        <w:pStyle w:val="Guidance"/>
      </w:pPr>
      <w:r>
        <w:t xml:space="preserve">SR-2 asks for a plan, for each system, that covers supply chain risk across the whole life cycle. NIST’s SR-2 discussion says the plan expresses the organization’s supply chain risk tolerance, the acceptable mitigation strategies or controls, a process for evaluating and monitoring supply chain risk, how the plan is implemented and communicated, the justification for the mitigation measures taken, and the roles and responsibilities; it can stand alone or be part of the system security and privacy plans.</w:t>
      </w:r>
      <w:r>
        <w:t xml:space="preserve"> </w:t>
      </w:r>
      <w:hyperlink r:id="rId19">
        <w:r>
          <w:rPr>
            <w:rStyle w:val="Hyperlink"/>
          </w:rPr>
          <w:t xml:space="preserve">NIST SP 800-161 Rev. 1</w:t>
        </w:r>
      </w:hyperlink>
      <w:r>
        <w:t xml:space="preserve">, Cybersecurity Supply Chain Risk Management Practices for Systems and Organizations (May 2022, updated November 1, 2024; current as of October 2026) recommends a stand-alone plan, and says a plan incorporated into the system security plan must keep its supply chain parts clearly discernible (Appendix A, SR-2, and Appendix D.3). Its Appendix D.3.1 is a sample plan outline, and D.3.1.11 has the plan reviewed at least at life cycle milestones, gate reviews and significant contracting activities. The plan applies the organization-wide supply chain risk management strategy (PM-30) to one system. The</w:t>
      </w:r>
      <w:r>
        <w:t xml:space="preserve"> </w:t>
      </w:r>
      <w:hyperlink r:id="rId20">
        <w:r>
          <w:rPr>
            <w:rStyle w:val="Hyperlink"/>
          </w:rPr>
          <w:t xml:space="preserve">Supply Chain Risk Management Plan</w:t>
        </w:r>
      </w:hyperlink>
      <w:r>
        <w:t xml:space="preserve"> </w:t>
      </w:r>
      <w:r>
        <w:t xml:space="preserve">template follows that outline and the more detailed outline example NIST publishes with SP 800-18 Rev. 2 (June 2026). Assessors examine the plan, its review history and who can read and change it.</w:t>
      </w:r>
    </w:p>
    <w:p>
      <w:pPr>
        <w:pStyle w:val="Compact"/>
        <w:numPr>
          <w:ilvl w:val="0"/>
          <w:numId w:val="1004"/>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004"/>
        </w:numPr>
      </w:pPr>
      <w:r>
        <w:t xml:space="preserve">The plan shall be a stand-alone document or a clearly identifiable section of the system security plan. (SR-2a)</w:t>
      </w:r>
    </w:p>
    <w:p>
      <w:pPr>
        <w:pStyle w:val="Compact"/>
        <w:numPr>
          <w:ilvl w:val="0"/>
          <w:numId w:val="1004"/>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004"/>
        </w:numPr>
      </w:pPr>
      <w:r>
        <w:t xml:space="preserve">The plan shall list the system’s critical components and services and their suppliers, drawing on the criticality analysis (RA-9) and the component inventory (CM-8). (SR-2a)</w:t>
      </w:r>
    </w:p>
    <w:p>
      <w:pPr>
        <w:pStyle w:val="Compact"/>
        <w:numPr>
          <w:ilvl w:val="0"/>
          <w:numId w:val="1004"/>
        </w:numPr>
      </w:pPr>
      <w:r>
        <w:t xml:space="preserve">The authorizing official shall approve the plan and each significant change to it. (SR-2a)</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p>
      <w:pPr>
        <w:pStyle w:val="Guidance"/>
      </w:pPr>
      <w:r>
        <w:t xml:space="preserve">A plan that names critical components, suppliers and known weaknesses is useful to an adversary, which is why SR-2c asks for its protection. Handle it at least as carefully as the system security plan.</w:t>
      </w:r>
    </w:p>
    <w:bookmarkStart w:id="24" w:name="federal-systems"/>
    <w:p>
      <w:pPr>
        <w:pStyle w:val="Heading4"/>
      </w:pPr>
      <w:r>
        <w:t xml:space="preserve">Federal systems</w:t>
      </w:r>
    </w:p>
    <w:p>
      <w:pPr>
        <w:pStyle w:val="FirstParagraph"/>
      </w:pPr>
      <w:hyperlink r:id="rId21">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22">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23">
        <w:r>
          <w:rPr>
            <w:rStyle w:val="Hyperlink"/>
          </w:rPr>
          <w:t xml:space="preserve">41 U.S.C. § 1328</w:t>
        </w:r>
      </w:hyperlink>
      <w:r>
        <w:t xml:space="preserve">). Text checked in the United States Code, 2024 edition, as of October 2026.</w:t>
      </w:r>
    </w:p>
    <w:p>
      <w:pPr>
        <w:pStyle w:val="Compact"/>
        <w:numPr>
          <w:ilvl w:val="0"/>
          <w:numId w:val="1005"/>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24"/>
    <w:bookmarkEnd w:id="25"/>
    <w:bookmarkStart w:id="26" w:name="establish-scrm-team-sr-21"/>
    <w:p>
      <w:pPr>
        <w:pStyle w:val="Heading3"/>
      </w:pPr>
      <w:r>
        <w:t xml:space="preserve">Establish SCRM team (SR-2(1))</w:t>
      </w:r>
    </w:p>
    <w:p>
      <w:pPr>
        <w:pStyle w:val="Guidance"/>
      </w:pPr>
      <w:r>
        <w:t xml:space="preserve">NIST’s SR-2(1) discussion describes a team-based approach drawing on diverse roles, including the risk executive, information technology, contracting, information security, privacy, mission or business, legal, supply chain and logistics, acquisition and business continuity. It can be an extension of existing security and privacy risk management processes or part of an organizational risk management team. SP 800-161 Rev. 1 calls the central body a C-SCRM program management office. In a small organization the team may be a few people who meet as needed; what matters is that acquisition, security and legal decide together.</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006"/>
        </w:numPr>
      </w:pPr>
      <w:r>
        <w:t xml:space="preserve">The team shall meet at least quarterly, and whenever an acquisition or a supplier notification needs its review, and shall record its decisions. (SR-2(1))</w:t>
      </w:r>
    </w:p>
    <w:bookmarkEnd w:id="26"/>
    <w:bookmarkStart w:id="28" w:name="supply-chain-controls-and-processes-sr-3"/>
    <w:p>
      <w:pPr>
        <w:pStyle w:val="Heading3"/>
      </w:pPr>
      <w:r>
        <w:t xml:space="preserve">Supply chain controls and processes (SR-3)</w:t>
      </w:r>
    </w:p>
    <w:p>
      <w:pPr>
        <w:pStyle w:val="Guidance"/>
      </w:pPr>
      <w:r>
        <w:t xml:space="preserve">NIST’s SR-3 discussion defines supply chain elements as the organizations, entities and tools involved in the research and development, design, manufacturing, acquisition, delivery, integration, operations and maintenance, and disposal of systems and components. Supply chain processes include hardware, software and firmware development, shipping and handling, personnel and physical security programs, and the configuration management that maintains provenance. Weaknesses in either are potential vulnerabilities. SP 800-161 Rev. 1 points to its Section 2 and Appendix C for implementing SR-3. None of the SR-3 enhancements is in a baseline; the acquisition security requirements standard already requires suppliers to flow security requirements down to subcontractors, which is SR-3(3)’s aim.</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007"/>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007"/>
        </w:numPr>
      </w:pPr>
      <w:r>
        <w:t xml:space="preserve">Each weakness or deficiency found shall be recorded in the risk register or the plan of action and milestones, with an owner, a response and a due date. (SR-3a)</w:t>
      </w:r>
    </w:p>
    <w:p>
      <w:pPr>
        <w:pStyle w:val="Compact"/>
        <w:numPr>
          <w:ilvl w:val="0"/>
          <w:numId w:val="1007"/>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007"/>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27" w:name="federal-systems-1"/>
    <w:p>
      <w:pPr>
        <w:pStyle w:val="Heading4"/>
      </w:pPr>
      <w:r>
        <w:t xml:space="preserve">Federal systems</w:t>
      </w:r>
    </w:p>
    <w:p>
      <w:pPr>
        <w:pStyle w:val="FirstParagraph"/>
      </w:pPr>
      <w:hyperlink r:id="rId21">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22">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27"/>
    <w:bookmarkEnd w:id="28"/>
    <w:bookmarkStart w:id="34" w:name="X0e0dc855e1dd10b4eae943530f4a58da9a63d02"/>
    <w:p>
      <w:pPr>
        <w:pStyle w:val="Heading3"/>
      </w:pPr>
      <w:r>
        <w:t xml:space="preserve">Acquisition strategies, tools and methods (SR-5)</w:t>
      </w:r>
    </w:p>
    <w:p>
      <w:pPr>
        <w:pStyle w:val="Guidance"/>
      </w:pPr>
      <w:r>
        <w:t xml:space="preserve">NIST’s SR-5 discussion calls the acquisition process an important vehicle to protect the supply chain, and names tools such as obscuring the end use of a component, blind or filtered buys, tamper-evident packaging, and trusted or controlled distribution. It suggests incentives for suppliers that implement controls and are transparent about their practices, contract language prohibiting tainted or counterfeit components, and restricting purchases from untrustworthy suppliers, chosen in light of the supply chain risk assessment (RA-3(1)). Blind buys and controlled distribution suit high-threat environments; most organizations start with authorized sources, contract terms and supplier assessments. The contract terms themselves live in the</w:t>
      </w:r>
      <w:r>
        <w:t xml:space="preserve"> </w:t>
      </w:r>
      <w:hyperlink r:id="rId29">
        <w:r>
          <w:rPr>
            <w:rStyle w:val="Hyperlink"/>
          </w:rPr>
          <w:t xml:space="preserve">acquisition security requirements</w:t>
        </w:r>
      </w:hyperlink>
      <w:r>
        <w:t xml:space="preserve"> </w:t>
      </w:r>
      <w:r>
        <w:t xml:space="preserve">standard (section 4.5); keep them in step with this clause. SP 800-161 Rev. 1, Section 3, covers supply chain risk management in the acquisition process.</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009"/>
        </w:numPr>
      </w:pPr>
      <w:r>
        <w:t xml:space="preserve">The results of the system’s supply chain risk assessment (RA-3(1)) shall inform the strategies, tools and methods chosen for each such acquisition. (SR-5)</w:t>
      </w:r>
    </w:p>
    <w:bookmarkStart w:id="33" w:name="federal-systems-2"/>
    <w:p>
      <w:pPr>
        <w:pStyle w:val="Heading4"/>
      </w:pPr>
      <w:r>
        <w:t xml:space="preserve">Federal systems</w:t>
      </w:r>
    </w:p>
    <w:p>
      <w:pPr>
        <w:pStyle w:val="FirstParagraph"/>
      </w:pPr>
      <w:hyperlink r:id="rId21">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30">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31">
        <w:r>
          <w:rPr>
            <w:rStyle w:val="Hyperlink"/>
          </w:rPr>
          <w:t xml:space="preserve">41 CFR 201-1.304</w:t>
        </w:r>
      </w:hyperlink>
      <w:r>
        <w:t xml:space="preserve"> </w:t>
      </w:r>
      <w:r>
        <w:t xml:space="preserve">repeats the duty and sets out how an agency requests an exception.</w:t>
      </w:r>
      <w:r>
        <w:t xml:space="preserve"> </w:t>
      </w:r>
      <w:hyperlink r:id="rId32">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33"/>
    <w:bookmarkEnd w:id="34"/>
    <w:bookmarkStart w:id="39" w:name="supplier-assessments-and-reviews-sr-6"/>
    <w:p>
      <w:pPr>
        <w:pStyle w:val="Heading3"/>
      </w:pPr>
      <w:r>
        <w:t xml:space="preserve">Supplier assessments and reviews (SR-6)</w:t>
      </w:r>
    </w:p>
    <w:p>
      <w:pPr>
        <w:pStyle w:val="Guidance"/>
      </w:pPr>
      <w:r>
        <w:t xml:space="preserve">NIST’s SR-6 discussion lists what a supplier review covers: security and supply chain risk management processes; foreign ownership, control or influence; and the supplier’s ability to assess its own second- and third-tier suppliers. Reviews consider documented processes and controls, all-source intelligence and publicly available information, and may be done by the organization or an independent third party. SP 800-161 Rev. 1 adds that assessments should apply a consistent set of core factors and criteria, so suppliers can be compared with each other and over time, and that the sources of information should be documented; its Appendix D.4 is a sample supply chain risk assessment template. For a cloud or other external service, the</w:t>
      </w:r>
      <w:r>
        <w:t xml:space="preserve"> </w:t>
      </w:r>
      <w:hyperlink r:id="rId35">
        <w:r>
          <w:rPr>
            <w:rStyle w:val="Hyperlink"/>
          </w:rPr>
          <w:t xml:space="preserve">external service review</w:t>
        </w:r>
      </w:hyperlink>
      <w:r>
        <w:t xml:space="preserve"> </w:t>
      </w:r>
      <w:r>
        <w:t xml:space="preserve">(SA-9) and the provider’s independent attestation supply much of the evidence. The</w:t>
      </w:r>
      <w:r>
        <w:t xml:space="preserve"> </w:t>
      </w:r>
      <w:hyperlink r:id="rId36">
        <w:r>
          <w:rPr>
            <w:rStyle w:val="Hyperlink"/>
          </w:rPr>
          <w:t xml:space="preserve">supplier assessment questionnaire</w:t>
        </w:r>
      </w:hyperlink>
      <w:r>
        <w:t xml:space="preserve"> </w:t>
      </w:r>
      <w:r>
        <w:t xml:space="preserve">rates the same core risk factors for every supplier and records the source of each finding.</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assess and review the supply chain-related risks associated with suppliers or contractors and the systems, system components or system services they provide</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011"/>
        </w:numPr>
      </w:pPr>
      <w:r>
        <w:t xml:space="preserve">Each assessment shall cover the supplier’s security and supply chain risk management processes, its foreign ownership, control or influence, its ability to assess its own second- and third-tier suppliers, its documented processes and controls, and publicly available information about it.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apply the same core risk factors and criteria to every supplier assessment, and record the sources of information each one relied on. (SR-6)</w:t>
      </w:r>
    </w:p>
    <w:p>
      <w:pPr>
        <w:pStyle w:val="Compact"/>
        <w:numPr>
          <w:ilvl w:val="0"/>
          <w:numId w:val="1011"/>
        </w:numPr>
      </w:pPr>
      <w:r>
        <w:t xml:space="preserve">A contract for a critical component or service shall not be awarded or renewed until its supplier assessment is complete and each risk found is accepted or has a planned response.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have the supply chain risk management team monitor publicly available information about the suppliers of critical components and services for indications of stolen information, poor development or quality control practices, information spillage or counterfeits. (SR-6)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share assessment and review results with other organizations only as applicable rules, policies, agreements or contracts allow or require. (SR-6)</w:t>
      </w:r>
    </w:p>
    <w:bookmarkStart w:id="38" w:name="federal-systems-3"/>
    <w:p>
      <w:pPr>
        <w:pStyle w:val="Heading4"/>
      </w:pPr>
      <w:r>
        <w:t xml:space="preserve">Federal systems</w:t>
      </w:r>
    </w:p>
    <w:p>
      <w:pPr>
        <w:pStyle w:val="FirstParagraph"/>
      </w:pPr>
      <w:hyperlink r:id="rId22">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19">
        <w:r>
          <w:rPr>
            <w:rStyle w:val="Hyperlink"/>
          </w:rPr>
          <w:t xml:space="preserve">NIST SP 800-161 Rev. 1</w:t>
        </w:r>
      </w:hyperlink>
      <w:r>
        <w:t xml:space="preserve">, Cybersecurity Supply Chain Risk Management Practices for Systems and Organizations (May 2022, updated November 1, 2024; current as of October 2026), Appendix E, gives federal agencies baseline risk factors (section E.2.2) to address, at a minimum, for assessments of critical sources and covered articles, and says (section E.2.1) that determining assessment priorities, evaluating impact and making risk response decisions are inherently governmental functions that cannot be outsourced, although a qualified, vetted third party may support research and documentation. Under</w:t>
      </w:r>
      <w:r>
        <w:t xml:space="preserve"> </w:t>
      </w:r>
      <w:hyperlink r:id="rId37">
        <w:r>
          <w:rPr>
            <w:rStyle w:val="Hyperlink"/>
          </w:rPr>
          <w:t xml:space="preserve">41 CFR 201-1.201(b)</w:t>
        </w:r>
      </w:hyperlink>
      <w:r>
        <w:t xml:space="preserve">, an executive agency must expeditiously submit supply chain risk information to the Federal Acquisition Security Council’s information sharing agency when the Council requests it, or when the agency determines there is a reasonable basis to conclude that a substantial supply chain risk exists in connection with a source or covered article. Statute checked in the United States Code, 2024 edition, and regulation in the eCFR, as of October 2026.</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prioritize supplier assessments by the criticality of the mission, system, component, service or asset, as 41 U.S.C. § 1326(a)(2) requires. (SR-6)</w:t>
      </w:r>
    </w:p>
    <w:p>
      <w:pPr>
        <w:pStyle w:val="Compact"/>
        <w:numPr>
          <w:ilvl w:val="0"/>
          <w:numId w:val="1012"/>
        </w:numPr>
      </w:pPr>
      <w:r>
        <w:t xml:space="preserve">Assessments of critical sources and covered articles shall address every baseline risk factor in NIST SP 800-161 Rev. 1, Appendix E, section E.2.2. (SR-6)</w:t>
      </w:r>
    </w:p>
    <w:p>
      <w:pPr>
        <w:pStyle w:val="Compact"/>
        <w:numPr>
          <w:ilvl w:val="0"/>
          <w:numId w:val="1012"/>
        </w:numPr>
      </w:pPr>
      <w:r>
        <w:t xml:space="preserve">Agency officials shall set assessment priorities and make each risk response decision; a contractor may support the research and documentation but shall not make those decisions. (SR-6)</w:t>
      </w:r>
    </w:p>
    <w:p>
      <w:pPr>
        <w:pStyle w:val="Compact"/>
        <w:numPr>
          <w:ilvl w:val="0"/>
          <w:numId w:val="1012"/>
        </w:numPr>
      </w:pPr>
      <w:r>
        <w:t xml:space="preserve">When the agency determines there is a reasonable basis to conclude that a substantial supply chain risk exists in connection with a source or covered article,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(SR-6)</w:t>
      </w:r>
    </w:p>
    <w:bookmarkEnd w:id="38"/>
    <w:bookmarkEnd w:id="39"/>
    <w:bookmarkStart w:id="41" w:name="notification-agreements-sr-8"/>
    <w:p>
      <w:pPr>
        <w:pStyle w:val="Heading3"/>
      </w:pPr>
      <w:r>
        <w:t xml:space="preserve">Notification agreements (SR-8)</w:t>
      </w:r>
    </w:p>
    <w:p>
      <w:pPr>
        <w:pStyle w:val="Guidance"/>
      </w:pPr>
      <w:r>
        <w:t xml:space="preserve">NIST’s SR-8 discussion says early notification of compromises and potential compromises in the supply chain is essential to responding to them, and that shared assessment or audit results can help a supply chain entity resolve a concern or improve its processes. SP 800-161 Rev. 1 adds that, at a minimum, organizations should require their suppliers to establish notification agreements with the entities in their own supply chains that have a role in a critical product or service. The notice times belong in the contract: the</w:t>
      </w:r>
      <w:r>
        <w:t xml:space="preserve"> </w:t>
      </w:r>
      <w:hyperlink r:id="rId29">
        <w:r>
          <w:rPr>
            <w:rStyle w:val="Hyperlink"/>
          </w:rPr>
          <w:t xml:space="preserve">acquisition security requirements</w:t>
        </w:r>
      </w:hyperlink>
      <w:r>
        <w:t xml:space="preserve"> </w:t>
      </w:r>
      <w:r>
        <w:t xml:space="preserve">standard (section 4.6) sets them for incidents and vulnerabilities. Notification in the other direction, from the organization to its suppliers about an incident, is the IR-6(3) clause of the Incident Response Policy.</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013"/>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013"/>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013"/>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40">
        <w:r>
          <w:rPr>
            <w:rStyle w:val="Hyperlink"/>
          </w:rPr>
          <w:t xml:space="preserve">incident response plan</w:t>
        </w:r>
      </w:hyperlink>
      <w:r>
        <w:t xml:space="preserve">, with the supply chain risk management team identifying the affected systems and components. (SR-8)</w:t>
      </w:r>
    </w:p>
    <w:bookmarkEnd w:id="41"/>
    <w:bookmarkStart w:id="42" w:name="tamper-resistance-and-detection-sr-9"/>
    <w:p>
      <w:pPr>
        <w:pStyle w:val="Heading3"/>
      </w:pPr>
      <w:r>
        <w:t xml:space="preserve">Tamper resistance and detection (SR-9)</w:t>
      </w:r>
    </w:p>
    <w:p>
      <w:pPr>
        <w:pStyle w:val="Guidance"/>
      </w:pPr>
      <w:r>
        <w:t xml:space="preserve">SR-9 and SR-9(1) are in the High baseline only. NIST’s SR-9 discussion says anti-tamper technologies protect against reverse engineering, modification and substitution, and that strong identification combined with tamper resistance or tamper detection is essential during distribution and in use. SP 800-161 Rev. 1 says to apply tamper resistance and detection to critical components at a minimum, using the criticality analysis (RA-9) to find them.</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implement a tamper protection program for the system, system components and system services. (SR-9)</w:t>
      </w:r>
    </w:p>
    <w:p>
      <w:pPr>
        <w:pStyle w:val="Compact"/>
        <w:numPr>
          <w:ilvl w:val="0"/>
          <w:numId w:val="1014"/>
        </w:numPr>
      </w:pPr>
      <w:r>
        <w:t xml:space="preserve">The program shall cover, at a minimum, the components the criticality analysis (RA-9) identifies as critical. (SR-9)</w:t>
      </w:r>
    </w:p>
    <w:p>
      <w:pPr>
        <w:pStyle w:val="Compact"/>
        <w:numPr>
          <w:ilvl w:val="0"/>
          <w:numId w:val="1014"/>
        </w:numPr>
      </w:pPr>
      <w:r>
        <w:t xml:space="preserve">The program shall combine strong identification of components, such as serial numbers recorded in the component inventory and cryptographic device identities where components support them, with tamper resistance and tamper detection. (SR-9)</w:t>
      </w:r>
    </w:p>
    <w:p>
      <w:pPr>
        <w:pStyle w:val="Compact"/>
        <w:numPr>
          <w:ilvl w:val="0"/>
          <w:numId w:val="1014"/>
        </w:numPr>
      </w:pPr>
      <w:r>
        <w:t xml:space="preserve">The program shall protect components in distribution, with tamper-evident packaging and tracked or controlled delivery, and in use, with tamper-evident seals or chassis intrusion detection on critical hardware and verification of firmware and software integrity at startup or installation (SI-7). (SR-9)</w:t>
      </w:r>
    </w:p>
    <w:p>
      <w:pPr>
        <w:pStyle w:val="Compact"/>
        <w:numPr>
          <w:ilvl w:val="0"/>
          <w:numId w:val="1014"/>
        </w:numPr>
      </w:pPr>
      <w:r>
        <w:t xml:space="preserve">A component that shows evidence of tampering shall be kept out of service and reported as an incident under the incident response plan. (SR-9)</w:t>
      </w:r>
    </w:p>
    <w:bookmarkEnd w:id="42"/>
    <w:bookmarkStart w:id="43" w:name="Xdda09f33b45a9fef119627d882ee78335af1b8f"/>
    <w:p>
      <w:pPr>
        <w:pStyle w:val="Heading3"/>
      </w:pPr>
      <w:r>
        <w:t xml:space="preserve">Multiple stages of system development life cycle (SR-9(1))</w:t>
      </w:r>
    </w:p>
    <w:p>
      <w:pPr>
        <w:pStyle w:val="Guidance"/>
      </w:pPr>
      <w:r>
        <w:t xml:space="preserve">NIST’s SR-9(1) discussion lists the life cycle phases, from research and development to disposal, and says organizations use a combination of hardware and software techniques, such as obfuscation and self-checking, to make reverse engineering and modification harder; customizing systems and components can make substitution easier to detect.</w:t>
      </w:r>
    </w:p>
    <w:p>
      <w:pPr>
        <w:pStyle w:val="Compact"/>
        <w:numPr>
          <w:ilvl w:val="0"/>
          <w:numId w:val="1015"/>
        </w:numPr>
      </w:pPr>
      <w:r>
        <w:t xml:space="preserve">The</w:t>
      </w:r>
      <w:r>
        <w:t xml:space="preserve"> </w:t>
      </w:r>
      <w:r>
        <w:rPr>
          <w:rStyle w:val="Fill-in"/>
        </w:rPr>
        <w:t xml:space="preserve">[System owner]</w:t>
      </w:r>
      <w:r>
        <w:t xml:space="preserve"> </w:t>
      </w:r>
      <w:r>
        <w:t xml:space="preserve">shall employ anti-tamper technologies, tools and techniques throughout the system development life cycle: research and development, design, manufacturing, acquisition, delivery, integration, operations and maintenance, and disposal. (SR-9(1))</w:t>
      </w:r>
    </w:p>
    <w:p>
      <w:pPr>
        <w:pStyle w:val="Compact"/>
        <w:numPr>
          <w:ilvl w:val="0"/>
          <w:numId w:val="1015"/>
        </w:numPr>
      </w:pPr>
      <w:r>
        <w:t xml:space="preserve">Contracts for custom or critical components shall state the anti-tamper requirements the developer or manufacturer must meet in each phase it performs. (SR-9(1))</w:t>
      </w:r>
    </w:p>
    <w:p>
      <w:pPr>
        <w:pStyle w:val="Compact"/>
        <w:numPr>
          <w:ilvl w:val="0"/>
          <w:numId w:val="1015"/>
        </w:numPr>
      </w:pPr>
      <w:r>
        <w:t xml:space="preserve">The supply chain risk management plan shall record which anti-tamper measures apply in each phase of the life cycle. (SR-9(1))</w:t>
      </w:r>
    </w:p>
    <w:bookmarkEnd w:id="43"/>
    <w:bookmarkStart w:id="45" w:name="X3cb789ce30c60622bd1ccdb673fcca52c739b4f"/>
    <w:p>
      <w:pPr>
        <w:pStyle w:val="Heading3"/>
      </w:pPr>
      <w:r>
        <w:t xml:space="preserve">Inspection of systems or components (SR-10)</w:t>
      </w:r>
    </w:p>
    <w:p>
      <w:pPr>
        <w:pStyle w:val="Guidance"/>
      </w:pPr>
      <w:r>
        <w:t xml:space="preserve">NIST’s SR-10 discussion says inspection addresses physical and logical tampering and applies to systems and components removed from organization-controlled areas. It names the indications of a need for inspection: changes in packaging, specifications, factory location or the entity the part is bought from, and individuals returning from travel to high-risk locations. SP 800-161 Rev. 1 says to inspect critical systems and components at a minimum, before use and periodically after, and to put inspection requirements in contracts with suppliers, integrators and service providers, flowed down to subcontractors. The receipt check in the Physical and Environmental Protection Policy (PE-16) is the first inspection of every arriving component; the</w:t>
      </w:r>
      <w:r>
        <w:t xml:space="preserve"> </w:t>
      </w:r>
      <w:hyperlink r:id="rId44">
        <w:r>
          <w:rPr>
            <w:rStyle w:val="Hyperlink"/>
          </w:rPr>
          <w:t xml:space="preserve">component inventory</w:t>
        </w:r>
      </w:hyperlink>
      <w:r>
        <w:t xml:space="preserve"> </w:t>
      </w:r>
      <w:r>
        <w:t xml:space="preserve">records the result.</w:t>
      </w:r>
    </w:p>
    <w:p>
      <w:pPr>
        <w:pStyle w:val="Compact"/>
        <w:numPr>
          <w:ilvl w:val="0"/>
          <w:numId w:val="1016"/>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016"/>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016"/>
        </w:numPr>
      </w:pPr>
      <w:r>
        <w:t xml:space="preserve">Each inspection shall be recorded with the component, the date, who inspected it and the result. (SR-10)</w:t>
      </w:r>
    </w:p>
    <w:p>
      <w:pPr>
        <w:pStyle w:val="Compact"/>
        <w:numPr>
          <w:ilvl w:val="0"/>
          <w:numId w:val="1016"/>
        </w:numPr>
      </w:pPr>
      <w:r>
        <w:t xml:space="preserve">A component that shows signs of tampering shall be kept out of service and reported under the incident response plan (IR-6). (SR-10)</w:t>
      </w:r>
    </w:p>
    <w:p>
      <w:pPr>
        <w:pStyle w:val="Compact"/>
        <w:numPr>
          <w:ilvl w:val="0"/>
          <w:numId w:val="1016"/>
        </w:numPr>
      </w:pPr>
      <w:r>
        <w:t xml:space="preserve">Contracts with the suppliers, integrators and service providers of critical components shall require them to inspect those components for tampering, and to flow the requirement down to their subcontractors. (SR-10)</w:t>
      </w:r>
    </w:p>
    <w:bookmarkEnd w:id="45"/>
    <w:bookmarkStart w:id="46" w:name="component-authenticity-sr-11"/>
    <w:p>
      <w:pPr>
        <w:pStyle w:val="Heading3"/>
      </w:pPr>
      <w:r>
        <w:t xml:space="preserve">Component authenticity (SR-11)</w:t>
      </w:r>
    </w:p>
    <w:p>
      <w:pPr>
        <w:pStyle w:val="Guidance"/>
      </w:pPr>
      <w:r>
        <w:t xml:space="preserve">NIST’s SR-11 discussion names manufacturers, developers, vendors and contractors as sources of counterfeit components, says anti-counterfeit policy and procedures support tamper resistance and protect against malicious code, and names CISA as an external reporting organization. SP 800-161 Rev. 1 says the policy and procedures need input from acquisition, information technology, security, legal and the supply chain risk management team, and should address contract clauses and counterfeit reporting processes, such as the Government-Industry Data Exchange Program (GIDEP), and, where appropriate, qualified bidders or manufacturers lists. The statements below are the anti-counterfeit policy; the procedure sets out the checks for each type of component. SR-11(3), anti-counterfeit scanning, is in no baseline.</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017"/>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017"/>
        </w:numPr>
      </w:pPr>
      <w:r>
        <w:t xml:space="preserve">Each component shall be checked on receipt against the order and the manufacturer’s identifiers, such as part and serial numbers, labels and packaging. (SR-11a)</w:t>
      </w:r>
    </w:p>
    <w:p>
      <w:pPr>
        <w:pStyle w:val="Compact"/>
        <w:numPr>
          <w:ilvl w:val="0"/>
          <w:numId w:val="1017"/>
        </w:numPr>
      </w:pPr>
      <w:r>
        <w:t xml:space="preserve">Software, firmware and updates shall be verified by digital signature or the manufacturer’s published hash before installation. (SR-11a)</w:t>
      </w:r>
    </w:p>
    <w:p>
      <w:pPr>
        <w:pStyle w:val="Compact"/>
        <w:numPr>
          <w:ilvl w:val="0"/>
          <w:numId w:val="1017"/>
        </w:numPr>
      </w:pPr>
      <w:r>
        <w:t xml:space="preserve">A suspected counterfeit component shall be quarantined and kept out of the system until the investigation is complete, and shall not be returned to the seller before then. (SR-11a)</w:t>
      </w:r>
    </w:p>
    <w:p>
      <w:pPr>
        <w:pStyle w:val="Compact"/>
        <w:numPr>
          <w:ilvl w:val="0"/>
          <w:numId w:val="1017"/>
        </w:numPr>
      </w:pPr>
      <w:r>
        <w:t xml:space="preserve">A counterfeit component found installed in a system shall be handled as an incident under the incident response plan. (SR-11a)</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46"/>
    <w:bookmarkStart w:id="47" w:name="anti-counterfeit-training-sr-111"/>
    <w:p>
      <w:pPr>
        <w:pStyle w:val="Heading3"/>
      </w:pPr>
      <w:r>
        <w:t xml:space="preserve">Anti-counterfeit training (SR-11(1))</w:t>
      </w:r>
    </w:p>
    <w:p>
      <w:pPr>
        <w:pStyle w:val="Compact"/>
        <w:numPr>
          <w:ilvl w:val="0"/>
          <w:numId w:val="1018"/>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018"/>
        </w:numPr>
      </w:pPr>
      <w:r>
        <w:t xml:space="preserve">The training shall be part of role-based training (AT-3), completed before the person takes on the duties and annually thereafter. (SR-11(1))</w:t>
      </w:r>
    </w:p>
    <w:p>
      <w:pPr>
        <w:pStyle w:val="Compact"/>
        <w:numPr>
          <w:ilvl w:val="0"/>
          <w:numId w:val="1018"/>
        </w:numPr>
      </w:pPr>
      <w:r>
        <w:t xml:space="preserve">The training shall cover the organization’s anti-counterfeit procedures, how to recognize counterfeit or altered hardware, packaging and software, and how to quarantine and report a suspect component. (SR-11(1))</w:t>
      </w:r>
    </w:p>
    <w:p>
      <w:pPr>
        <w:pStyle w:val="Guidance"/>
      </w:pPr>
      <w:r>
        <w:t xml:space="preserve">NIST gives no discussion for SR-11(1). SP 800-161 Rev. 1 says the supply chain risk management team can help find training resources and decide who needs the training. Record completions in the training record log, as for other role-based training.</w:t>
      </w:r>
    </w:p>
    <w:bookmarkEnd w:id="47"/>
    <w:bookmarkStart w:id="48" w:name="Xfd25bfe0082260f08b1c5227c111d60fc673069"/>
    <w:p>
      <w:pPr>
        <w:pStyle w:val="Heading3"/>
      </w:pPr>
      <w:r>
        <w:t xml:space="preserve">Configuration control for component service and repair (SR-11(2))</w:t>
      </w:r>
    </w:p>
    <w:p>
      <w:pPr>
        <w:pStyle w:val="Guidance"/>
      </w:pPr>
      <w:r>
        <w:t xml:space="preserve">NIST gives no discussion for SR-11(2). SP 800-161 Rev. 1 says configuration control for component service and repair should be integrated into the organization’s configuration control processes, and that component authenticity should be addressed in contracts for servicing and repair. The Maintenance Policy covers approval, sanitization and the check after repair (MA-2); this clause keeps a component under control while it is away and before it returns.</w:t>
      </w:r>
    </w:p>
    <w:p>
      <w:pPr>
        <w:pStyle w:val="Compact"/>
        <w:numPr>
          <w:ilvl w:val="0"/>
          <w:numId w:val="1019"/>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019"/>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019"/>
        </w:numPr>
      </w:pPr>
      <w:r>
        <w:t xml:space="preserve">A component sent off site shall be tracked by serial number from departure to return, with the maintenance log recording who had custody of it. (SR-11(2))</w:t>
      </w:r>
    </w:p>
    <w:p>
      <w:pPr>
        <w:pStyle w:val="Compact"/>
        <w:numPr>
          <w:ilvl w:val="0"/>
          <w:numId w:val="1019"/>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019"/>
        </w:numPr>
      </w:pPr>
      <w:r>
        <w:t xml:space="preserve">Contracts for component service and repair shall require genuine replacement parts from the original manufacturer or its authorized channel. (SR-11(2))</w:t>
      </w:r>
    </w:p>
    <w:bookmarkEnd w:id="48"/>
    <w:bookmarkStart w:id="50" w:name="component-disposal-sr-12"/>
    <w:p>
      <w:pPr>
        <w:pStyle w:val="Heading3"/>
      </w:pPr>
      <w:r>
        <w:t xml:space="preserve">Component disposal (SR-12)</w:t>
      </w:r>
    </w:p>
    <w:p>
      <w:pPr>
        <w:pStyle w:val="Guidance"/>
      </w:pPr>
      <w:r>
        <w:t xml:space="preserve">NIST’s SR-12 discussion says disposal can happen at any point in the life cycle, not only at retirement, and includes methods such as disk cleaning, removal of cryptographic keys and partial reuse of components. Disposal exposes paper and digital documentation, shipping and delivery records, memory sticks with code, and whole routers or servers with permanent media, and proper disposal keeps components out of the gray market. Sanitization itself follows the Media Protection Policy (MP-6); record it in the</w:t>
      </w:r>
      <w:r>
        <w:t xml:space="preserve"> </w:t>
      </w:r>
      <w:hyperlink r:id="rId49">
        <w:r>
          <w:rPr>
            <w:rStyle w:val="Hyperlink"/>
          </w:rPr>
          <w:t xml:space="preserve">media sanitization record</w:t>
        </w:r>
      </w:hyperlink>
      <w:r>
        <w:t xml:space="preserve">, and keep the disposed component in the</w:t>
      </w:r>
      <w:r>
        <w:t xml:space="preserve"> </w:t>
      </w:r>
      <w:hyperlink r:id="rId44">
        <w:r>
          <w:rPr>
            <w:rStyle w:val="Hyperlink"/>
          </w:rPr>
          <w:t xml:space="preserve">component inventory</w:t>
        </w:r>
      </w:hyperlink>
      <w:r>
        <w:t xml:space="preserve"> </w:t>
      </w:r>
      <w:r>
        <w:t xml:space="preserve">with the status</w:t>
      </w:r>
      <w:r>
        <w:t xml:space="preserve"> </w:t>
      </w:r>
      <w:r>
        <w:t xml:space="preserve">“disposed”</w:t>
      </w:r>
      <w:r>
        <w:t xml:space="preserve">.</w:t>
      </w:r>
    </w:p>
    <w:p>
      <w:pPr>
        <w:pStyle w:val="Compact"/>
        <w:numPr>
          <w:ilvl w:val="0"/>
          <w:numId w:val="1020"/>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020"/>
        </w:numPr>
      </w:pPr>
      <w:r>
        <w:t xml:space="preserve">These techniques and methods shall apply whenever disposal happens in the life cycle, including during development, testing and maintenance. (SR-12)</w:t>
      </w:r>
    </w:p>
    <w:p>
      <w:pPr>
        <w:pStyle w:val="Compact"/>
        <w:numPr>
          <w:ilvl w:val="0"/>
          <w:numId w:val="1020"/>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020"/>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50"/>
    <w:bookmarkEnd w:id="51"/>
    <w:bookmarkStart w:id="54" w:name="review-and-update"/>
    <w:p>
      <w:pPr>
        <w:pStyle w:val="Heading2"/>
      </w:pPr>
      <w:r>
        <w:t xml:space="preserve">Review and update</w:t>
      </w:r>
    </w:p>
    <w:p>
      <w:pPr>
        <w:pStyle w:val="Compact"/>
        <w:numPr>
          <w:ilvl w:val="0"/>
          <w:numId w:val="102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supply chain risk management policy is reviewed and updated. Typical: annually]</w:t>
      </w:r>
      <w:r>
        <w:t xml:space="preserve"> </w:t>
      </w:r>
      <w:r>
        <w:t xml:space="preserve">and following</w:t>
      </w:r>
      <w:r>
        <w:t xml:space="preserve"> </w:t>
      </w:r>
      <w:r>
        <w:rPr>
          <w:rStyle w:val="Fill-in"/>
        </w:rPr>
        <w:t xml:space="preserve">[Fill in: events that require the current supply chain risk management policy to be reviewed and updated. Typical: assessment or audit findings, security incidents or breaches, and changes in applicable laws, executive orders, directives, regulations, policies, standards or guidelines]</w:t>
      </w:r>
      <w:r>
        <w:t xml:space="preserve">. (SR-1c.1)</w:t>
      </w:r>
    </w:p>
    <w:p>
      <w:pPr>
        <w:pStyle w:val="Compact"/>
        <w:numPr>
          <w:ilvl w:val="0"/>
          <w:numId w:val="102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supply chain risk management procedure is reviewed and updated. Typical: annually]</w:t>
      </w:r>
      <w:r>
        <w:t xml:space="preserve"> </w:t>
      </w:r>
      <w:r>
        <w:t xml:space="preserve">and following</w:t>
      </w:r>
      <w:r>
        <w:t xml:space="preserve"> </w:t>
      </w:r>
      <w:r>
        <w:rPr>
          <w:rStyle w:val="Fill-in"/>
        </w:rPr>
        <w:t xml:space="preserve">[Fill in: events that require the supply chain risk management procedures to be reviewed and updated. Typical: the same events as the policy, and changes to the systems, tools or services the procedures describe]</w:t>
      </w:r>
      <w:r>
        <w:t xml:space="preserve">. (SR-1c.2)</w:t>
      </w:r>
    </w:p>
    <w:bookmarkStart w:id="53"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2">
        <w:r>
          <w:rPr>
            <w:rStyle w:val="Hyperlink"/>
          </w:rPr>
          <w:t xml:space="preserve">44 U.S.C. § 3554</w:t>
        </w:r>
      </w:hyperlink>
      <w:r>
        <w:t xml:space="preserve">, Federal agency responsibilities) and</w:t>
      </w:r>
      <w:r>
        <w:t xml:space="preserve"> </w:t>
      </w:r>
      <w:hyperlink r:id="rId21">
        <w:r>
          <w:rPr>
            <w:rStyle w:val="Hyperlink"/>
          </w:rPr>
          <w:t xml:space="preserve">OMB Circular A-130</w:t>
        </w:r>
      </w:hyperlink>
      <w:r>
        <w:t xml:space="preserve">, Appendix I, Responsibilities for Protecting and Managing Federal Information Resources.</w:t>
      </w:r>
    </w:p>
    <w:p>
      <w:pPr>
        <w:pStyle w:val="Compact"/>
        <w:numPr>
          <w:ilvl w:val="0"/>
          <w:numId w:val="1022"/>
        </w:numPr>
      </w:pPr>
      <w:r>
        <w:t xml:space="preserve">Where the agency’s organization-wide policy sets a value for a parameter in this policy, each system shall use that value or a stricter one. (SR-1a.1(b))</w:t>
      </w:r>
    </w:p>
    <w:bookmarkEnd w:id="53"/>
    <w:bookmarkEnd w:id="54"/>
    <w:bookmarkEnd w:id="5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Supply Chain Risk Management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sp/800/161/r1/upd1/final" TargetMode="External" /><Relationship Type="http://schemas.openxmlformats.org/officeDocument/2006/relationships/hyperlink" Id="rId44" Target="https://kston83.github.io/nist-guide/templates/forms/component-inventory/" TargetMode="External" /><Relationship Type="http://schemas.openxmlformats.org/officeDocument/2006/relationships/hyperlink" Id="rId35" Target="https://kston83.github.io/nist-guide/templates/forms/external-service-review/" TargetMode="External" /><Relationship Type="http://schemas.openxmlformats.org/officeDocument/2006/relationships/hyperlink" Id="rId49" Target="https://kston83.github.io/nist-guide/templates/forms/media-sanitization-record/" TargetMode="External" /><Relationship Type="http://schemas.openxmlformats.org/officeDocument/2006/relationships/hyperlink" Id="rId36" Target="https://kston83.github.io/nist-guide/templates/forms/supplier-assessment-questionnaire/" TargetMode="External" /><Relationship Type="http://schemas.openxmlformats.org/officeDocument/2006/relationships/hyperlink" Id="rId40" Target="https://kston83.github.io/nist-guide/templates/plans/incident-response-plan/" TargetMode="External" /><Relationship Type="http://schemas.openxmlformats.org/officeDocument/2006/relationships/hyperlink" Id="rId20" Target="https://kston83.github.io/nist-guide/templates/plans/supply-chain-risk-management-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29" Target="https://kston83.github.io/nist-guide/templates/standards/acquisition-security-requirements/" TargetMode="External" /><Relationship Type="http://schemas.openxmlformats.org/officeDocument/2006/relationships/hyperlink" Id="rId52" Target="https://uscode.house.gov/view.xhtml?req=granuleid:USC-prelim-title44-section3554&amp;num=0&amp;edition=prelim" TargetMode="External" /><Relationship Type="http://schemas.openxmlformats.org/officeDocument/2006/relationships/hyperlink" Id="rId37" Target="https://www.ecfr.gov/current/title-41/section-201-1.201" TargetMode="External" /><Relationship Type="http://schemas.openxmlformats.org/officeDocument/2006/relationships/hyperlink" Id="rId31" Target="https://www.ecfr.gov/current/title-41/section-201-1.304" TargetMode="External" /><Relationship Type="http://schemas.openxmlformats.org/officeDocument/2006/relationships/hyperlink" Id="rId30" Target="https://www.govinfo.gov/link/uscode/41/1323?link-type=html" TargetMode="External" /><Relationship Type="http://schemas.openxmlformats.org/officeDocument/2006/relationships/hyperlink" Id="rId22" Target="https://www.govinfo.gov/link/uscode/41/1326?link-type=html" TargetMode="External" /><Relationship Type="http://schemas.openxmlformats.org/officeDocument/2006/relationships/hyperlink" Id="rId23" Target="https://www.govinfo.gov/link/uscode/41/1328?link-type=html" TargetMode="External" /><Relationship Type="http://schemas.openxmlformats.org/officeDocument/2006/relationships/hyperlink" Id="rId32" Target="https://www.whitehouse.gov/wp-content/uploads/2026/01/M-26-05-Adopting-a-Risk-based-Approach-to-Software-and-Hardware-Security.pdf" TargetMode="External" /><Relationship Type="http://schemas.openxmlformats.org/officeDocument/2006/relationships/hyperlink" Id="rId2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sp/800/161/r1/upd1/final" TargetMode="External" /><Relationship Type="http://schemas.openxmlformats.org/officeDocument/2006/relationships/hyperlink" Id="rId44" Target="https://kston83.github.io/nist-guide/templates/forms/component-inventory/" TargetMode="External" /><Relationship Type="http://schemas.openxmlformats.org/officeDocument/2006/relationships/hyperlink" Id="rId35" Target="https://kston83.github.io/nist-guide/templates/forms/external-service-review/" TargetMode="External" /><Relationship Type="http://schemas.openxmlformats.org/officeDocument/2006/relationships/hyperlink" Id="rId49" Target="https://kston83.github.io/nist-guide/templates/forms/media-sanitization-record/" TargetMode="External" /><Relationship Type="http://schemas.openxmlformats.org/officeDocument/2006/relationships/hyperlink" Id="rId36" Target="https://kston83.github.io/nist-guide/templates/forms/supplier-assessment-questionnaire/" TargetMode="External" /><Relationship Type="http://schemas.openxmlformats.org/officeDocument/2006/relationships/hyperlink" Id="rId40" Target="https://kston83.github.io/nist-guide/templates/plans/incident-response-plan/" TargetMode="External" /><Relationship Type="http://schemas.openxmlformats.org/officeDocument/2006/relationships/hyperlink" Id="rId20" Target="https://kston83.github.io/nist-guide/templates/plans/supply-chain-risk-management-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29" Target="https://kston83.github.io/nist-guide/templates/standards/acquisition-security-requirements/" TargetMode="External" /><Relationship Type="http://schemas.openxmlformats.org/officeDocument/2006/relationships/hyperlink" Id="rId52" Target="https://uscode.house.gov/view.xhtml?req=granuleid:USC-prelim-title44-section3554&amp;num=0&amp;edition=prelim" TargetMode="External" /><Relationship Type="http://schemas.openxmlformats.org/officeDocument/2006/relationships/hyperlink" Id="rId37" Target="https://www.ecfr.gov/current/title-41/section-201-1.201" TargetMode="External" /><Relationship Type="http://schemas.openxmlformats.org/officeDocument/2006/relationships/hyperlink" Id="rId31" Target="https://www.ecfr.gov/current/title-41/section-201-1.304" TargetMode="External" /><Relationship Type="http://schemas.openxmlformats.org/officeDocument/2006/relationships/hyperlink" Id="rId30" Target="https://www.govinfo.gov/link/uscode/41/1323?link-type=html" TargetMode="External" /><Relationship Type="http://schemas.openxmlformats.org/officeDocument/2006/relationships/hyperlink" Id="rId22" Target="https://www.govinfo.gov/link/uscode/41/1326?link-type=html" TargetMode="External" /><Relationship Type="http://schemas.openxmlformats.org/officeDocument/2006/relationships/hyperlink" Id="rId23" Target="https://www.govinfo.gov/link/uscode/41/1328?link-type=html" TargetMode="External" /><Relationship Type="http://schemas.openxmlformats.org/officeDocument/2006/relationships/hyperlink" Id="rId32" Target="https://www.whitehouse.gov/wp-content/uploads/2026/01/M-26-05-Adopting-a-Risk-based-Approach-to-Software-and-Hardware-Security.pdf" TargetMode="External" /><Relationship Type="http://schemas.openxmlformats.org/officeDocument/2006/relationships/hyperlink" Id="rId2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