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9" w:name="supply-chain-risk-management-policy"/>
    <w:p>
      <w:pPr>
        <w:pStyle w:val="Heading1"/>
      </w:pPr>
      <w:r>
        <w:t xml:space="preserve">Supply Chain Risk Management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High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https://kston83.github.io/nist-guide/templates/policies/sr/</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Supply Chain Risk Management, and who is accountable for meeting those requirements. (SR-1a.1(a))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(SR-1a.1(a))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(SR-1a.1(a))</w:t>
      </w:r>
    </w:p>
    <w:p>
      <w:pPr>
        <w:pStyle w:val="Compact"/>
        <w:numPr>
          <w:ilvl w:val="0"/>
          <w:numId w:val="1001"/>
        </w:numPr>
      </w:pPr>
      <w:r>
        <w:t xml:space="preserve">The</w:t>
      </w:r>
      <w:r>
        <w:t xml:space="preserve"> </w:t>
      </w:r>
      <w:r>
        <w:rPr>
          <w:rStyle w:val="Fill-in"/>
        </w:rPr>
        <w:t xml:space="preserve">[Fill in: an official to manage the development, documentation, and dissemination of the supply chain risk management policy and procedures. Typical: Chief Information Security Officer]</w:t>
      </w:r>
      <w:r>
        <w:t xml:space="preserve"> </w:t>
      </w:r>
      <w:r>
        <w:t xml:space="preserve">shall manage the development, documentation and dissemination of this policy and its procedures. (SR-1b)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(SR-1a.1(a))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(SR-1a.1(a))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(SR-1a.1(a))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(SR-1a.1(a))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(SR-1a.1(b))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(SR-1a.1(a))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(SR-1a.1(a))</w:t>
      </w:r>
    </w:p>
    <w:p>
      <w:pPr>
        <w:pStyle w:val="Compact"/>
        <w:numPr>
          <w:ilvl w:val="0"/>
          <w:numId w:val="1002"/>
        </w:numPr>
      </w:pPr>
      <w:r>
        <w:t xml:space="preserve">Violations of this policy shall be handled through the organization’s sanctions process. (SR-1a.1(a))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development, documentation, and dissemination of the supply chain risk management policy and procedures. Typical: Chief Information Security Officer]</w:t>
      </w:r>
      <w:r>
        <w:t xml:space="preserve"> </w:t>
      </w:r>
      <w:r>
        <w:t xml:space="preserve">shall ensure that documented procedures exist to implement this policy and its associated controls. (SR-1a.2)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development, documentation, and dissemination of the supply chain risk management policy and procedures. Typical: Chief Information Security Officer]</w:t>
      </w:r>
      <w:r>
        <w:t xml:space="preserve"> </w:t>
      </w:r>
      <w:r>
        <w:t xml:space="preserve">shall disseminate this policy to</w:t>
      </w:r>
      <w:r>
        <w:t xml:space="preserve"> </w:t>
      </w:r>
      <w:r>
        <w:rPr>
          <w:rStyle w:val="Fill-in"/>
        </w:rPr>
        <w:t xml:space="preserve">[Fill in: personnel or roles to whom supply chain risk management policy is to be disseminated to. Typical: everyone within its scope, through the policy library]</w:t>
      </w:r>
      <w:r>
        <w:t xml:space="preserve">. (SR-1a)</w:t>
      </w:r>
    </w:p>
    <w:p>
      <w:pPr>
        <w:pStyle w:val="Compact"/>
        <w:numPr>
          <w:ilvl w:val="0"/>
          <w:numId w:val="1003"/>
        </w:numPr>
      </w:pPr>
      <w:r>
        <w:t xml:space="preserve">The</w:t>
      </w:r>
      <w:r>
        <w:t xml:space="preserve"> </w:t>
      </w:r>
      <w:r>
        <w:rPr>
          <w:rStyle w:val="Fill-in"/>
        </w:rPr>
        <w:t xml:space="preserve">[Fill in: an official to manage the development, documentation, and dissemination of the supply chain risk management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supply chain risk management procedures are disseminated to. Typical: the people who carry them out, and the system owners]</w:t>
      </w:r>
      <w:r>
        <w:t xml:space="preserve">. (SR-1a)</w:t>
      </w:r>
    </w:p>
    <w:bookmarkEnd w:id="18"/>
    <w:bookmarkStart w:id="45" w:name="policy-statements"/>
    <w:p>
      <w:pPr>
        <w:pStyle w:val="Heading2"/>
      </w:pPr>
      <w:r>
        <w:t xml:space="preserve">Policy statements</w:t>
      </w:r>
    </w:p>
    <w:bookmarkStart w:id="23" w:name="supply-chain-risk-management-plan-sr-2"/>
    <w:p>
      <w:pPr>
        <w:pStyle w:val="Heading3"/>
      </w:pPr>
      <w:r>
        <w:t xml:space="preserve">Supply chain risk management plan (SR-2)</w:t>
      </w:r>
    </w:p>
    <w:p>
      <w:pPr>
        <w:pStyle w:val="Compact"/>
        <w:numPr>
          <w:ilvl w:val="0"/>
          <w:numId w:val="1004"/>
        </w:numPr>
      </w:pPr>
      <w:r>
        <w:t xml:space="preserve">The</w:t>
      </w:r>
      <w:r>
        <w:t xml:space="preserve"> </w:t>
      </w:r>
      <w:r>
        <w:rPr>
          <w:rStyle w:val="Fill-in"/>
        </w:rPr>
        <w:t xml:space="preserve">[System owner]</w:t>
      </w:r>
      <w:r>
        <w:t xml:space="preserve"> </w:t>
      </w:r>
      <w:r>
        <w:t xml:space="preserve">shall develop a plan for managing supply chain risks associated with the research and development, design, manufacturing, acquisition, delivery, integration, operations and maintenance, and disposal of</w:t>
      </w:r>
      <w:r>
        <w:t xml:space="preserve"> </w:t>
      </w:r>
      <w:r>
        <w:rPr>
          <w:rStyle w:val="Fill-in"/>
        </w:rPr>
        <w:t xml:space="preserve">[Fill in: systems, system components, or system services for which a supply chain risk management plan is developed. Typical: each system, including the components and services the criticality analysis (RA-9) identifies as critical and the external services the system depends on]</w:t>
      </w:r>
      <w:r>
        <w:t xml:space="preserve">. (SR-2a)</w:t>
      </w:r>
    </w:p>
    <w:p>
      <w:pPr>
        <w:pStyle w:val="Compact"/>
        <w:numPr>
          <w:ilvl w:val="0"/>
          <w:numId w:val="1004"/>
        </w:numPr>
      </w:pPr>
      <w:r>
        <w:t xml:space="preserve">The plan shall be a stand-alone document or a clearly identifiable section of the system security plan. (SR-2a)</w:t>
      </w:r>
    </w:p>
    <w:p>
      <w:pPr>
        <w:pStyle w:val="Compact"/>
        <w:numPr>
          <w:ilvl w:val="0"/>
          <w:numId w:val="1004"/>
        </w:numPr>
      </w:pPr>
      <w:r>
        <w:t xml:space="preserve">The plan shall state the supply chain risk tolerance it applies from the organization’s supply chain risk management strategy (PM-30), the supply chain controls selected for the system (SR-3), the process for evaluating and monitoring supply chain risk, how the plan is implemented and communicated, the justification for each mitigation measure, and the roles and responsibilities for each. (SR-2a)</w:t>
      </w:r>
    </w:p>
    <w:p>
      <w:pPr>
        <w:pStyle w:val="Compact"/>
        <w:numPr>
          <w:ilvl w:val="0"/>
          <w:numId w:val="1004"/>
        </w:numPr>
      </w:pPr>
      <w:r>
        <w:t xml:space="preserve">The plan shall list the system’s critical components and services and their suppliers, drawing on the criticality analysis (RA-9) and the component inventory (CM-8). (SR-2a)</w:t>
      </w:r>
    </w:p>
    <w:p>
      <w:pPr>
        <w:pStyle w:val="Compact"/>
        <w:numPr>
          <w:ilvl w:val="0"/>
          <w:numId w:val="1004"/>
        </w:numPr>
      </w:pPr>
      <w:r>
        <w:t xml:space="preserve">The authorizing official shall approve the plan and each significant change to it. (SR-2a)</w:t>
      </w:r>
    </w:p>
    <w:p>
      <w:pPr>
        <w:pStyle w:val="Compact"/>
        <w:numPr>
          <w:ilvl w:val="0"/>
          <w:numId w:val="1004"/>
        </w:numPr>
      </w:pPr>
      <w:r>
        <w:t xml:space="preserve">The</w:t>
      </w:r>
      <w:r>
        <w:t xml:space="preserve"> </w:t>
      </w:r>
      <w:r>
        <w:rPr>
          <w:rStyle w:val="Fill-in"/>
        </w:rPr>
        <w:t xml:space="preserve">[System owner]</w:t>
      </w:r>
      <w:r>
        <w:t xml:space="preserve"> </w:t>
      </w:r>
      <w:r>
        <w:t xml:space="preserve">shall review and update the plan</w:t>
      </w:r>
      <w:r>
        <w:t xml:space="preserve"> </w:t>
      </w:r>
      <w:r>
        <w:rPr>
          <w:rStyle w:val="Fill-in"/>
        </w:rPr>
        <w:t xml:space="preserve">[Fill in: the frequency at which to review and update the supply chain risk management plan. Typical: annually, and at each life cycle milestone or gate review and each significant contracting action, such as a new contract, a renewal or a change of supplier for a critical component or service]</w:t>
      </w:r>
      <w:r>
        <w:t xml:space="preserve">, and whenever threat, organizational or environmental changes require it. (SR-2b)</w:t>
      </w:r>
    </w:p>
    <w:p>
      <w:pPr>
        <w:pStyle w:val="Compact"/>
        <w:numPr>
          <w:ilvl w:val="0"/>
          <w:numId w:val="1004"/>
        </w:numPr>
      </w:pPr>
      <w:r>
        <w:t xml:space="preserve">The</w:t>
      </w:r>
      <w:r>
        <w:t xml:space="preserve"> </w:t>
      </w:r>
      <w:r>
        <w:rPr>
          <w:rStyle w:val="Fill-in"/>
        </w:rPr>
        <w:t xml:space="preserve">[System owner]</w:t>
      </w:r>
      <w:r>
        <w:t xml:space="preserve"> </w:t>
      </w:r>
      <w:r>
        <w:t xml:space="preserve">shall protect the plan from unauthorized disclosure and modification by marking it, limiting access to those who need it, and controlling changes to it. (SR-2c)</w:t>
      </w:r>
    </w:p>
    <w:bookmarkStart w:id="22" w:name="federal-systems"/>
    <w:p>
      <w:pPr>
        <w:pStyle w:val="Heading4"/>
      </w:pPr>
      <w:r>
        <w:t xml:space="preserve">Federal systems</w:t>
      </w:r>
    </w:p>
    <w:p>
      <w:pPr>
        <w:pStyle w:val="FirstParagraph"/>
      </w:pPr>
      <w:hyperlink r:id="rId19">
        <w:r>
          <w:rPr>
            <w:rStyle w:val="Hyperlink"/>
          </w:rPr>
          <w:t xml:space="preserve">OMB Circular A-130</w:t>
        </w:r>
      </w:hyperlink>
      <w:r>
        <w:t xml:space="preserve">, Appendix I, section 4.c(4), requires agencies to develop supply chain risk management plans as described in NIST SP 800-161 to ensure the integrity, security, resilience and quality of information systems. Under the Federal Acquisition Supply Chain Security Act of 2018,</w:t>
      </w:r>
      <w:r>
        <w:t xml:space="preserve"> </w:t>
      </w:r>
      <w:hyperlink r:id="rId20">
        <w:r>
          <w:rPr>
            <w:rStyle w:val="Hyperlink"/>
          </w:rPr>
          <w:t xml:space="preserve">41 U.S.C. § 1326</w:t>
        </w:r>
      </w:hyperlink>
      <w:r>
        <w:t xml:space="preserve">(a) and (b) makes the head of each executive agency responsible for assessing the supply chain risk posed by the acquisition and use of covered articles, including developing an overall supply chain risk management strategy and implementation plan and policies and processes, and integrating supply chain risk management practices throughout the life cycle of the system, component, service or asset. The subchapter terminates on December 31, 2033 (</w:t>
      </w:r>
      <w:hyperlink r:id="rId21">
        <w:r>
          <w:rPr>
            <w:rStyle w:val="Hyperlink"/>
          </w:rPr>
          <w:t xml:space="preserve">41 U.S.C. § 1328</w:t>
        </w:r>
      </w:hyperlink>
      <w:r>
        <w:t xml:space="preserve">). Text checked in the United States Code, 2024 edition, as of October 2026.</w:t>
      </w:r>
    </w:p>
    <w:p>
      <w:pPr>
        <w:pStyle w:val="Compact"/>
        <w:numPr>
          <w:ilvl w:val="0"/>
          <w:numId w:val="1005"/>
        </w:numPr>
      </w:pPr>
      <w:r>
        <w:t xml:space="preserve">The</w:t>
      </w:r>
      <w:r>
        <w:t xml:space="preserve"> </w:t>
      </w:r>
      <w:r>
        <w:rPr>
          <w:rStyle w:val="Fill-in"/>
        </w:rPr>
        <w:t xml:space="preserve">[System owner]</w:t>
      </w:r>
      <w:r>
        <w:t xml:space="preserve"> </w:t>
      </w:r>
      <w:r>
        <w:t xml:space="preserve">shall develop the system’s supply chain risk management plan as NIST SP 800-161 Rev. 1 describes, as OMB Circular A-130, Appendix I, section 4.c(4), requires. (SR-2a)</w:t>
      </w:r>
    </w:p>
    <w:bookmarkEnd w:id="22"/>
    <w:bookmarkEnd w:id="23"/>
    <w:bookmarkStart w:id="24" w:name="establish-scrm-team-sr-21"/>
    <w:p>
      <w:pPr>
        <w:pStyle w:val="Heading3"/>
      </w:pPr>
      <w:r>
        <w:t xml:space="preserve">Establish SCRM team (SR-2(1))</w:t>
      </w:r>
    </w:p>
    <w:p>
      <w:pPr>
        <w:pStyle w:val="Compact"/>
        <w:numPr>
          <w:ilvl w:val="0"/>
          <w:numId w:val="1006"/>
        </w:numPr>
      </w:pPr>
      <w:r>
        <w:t xml:space="preserve">The</w:t>
      </w:r>
      <w:r>
        <w:t xml:space="preserve"> </w:t>
      </w:r>
      <w:r>
        <w:rPr>
          <w:rStyle w:val="Fill-in"/>
        </w:rPr>
        <w:t xml:space="preserve">[Chief Information Security Officer]</w:t>
      </w:r>
      <w:r>
        <w:t xml:space="preserve"> </w:t>
      </w:r>
      <w:r>
        <w:t xml:space="preserve">shall establish a supply chain risk management team consisting of</w:t>
      </w:r>
      <w:r>
        <w:t xml:space="preserve"> </w:t>
      </w:r>
      <w:r>
        <w:rPr>
          <w:rStyle w:val="Fill-in"/>
        </w:rPr>
        <w:t xml:space="preserve">[Fill in: the personnel, roles, and responsibilities of the supply chain risk management team. Typical: a lead the Chief Information Security Officer designates, and representatives of information security, privacy, acquisition and contracting, legal counsel, information technology, the mission or business owners, and business continuity, each with the responsibilities the team charter assigns]</w:t>
      </w:r>
      <w:r>
        <w:t xml:space="preserve"> </w:t>
      </w:r>
      <w:r>
        <w:t xml:space="preserve">to lead and support the following supply chain risk management activities:</w:t>
      </w:r>
      <w:r>
        <w:t xml:space="preserve"> </w:t>
      </w:r>
      <w:r>
        <w:rPr>
          <w:rStyle w:val="Fill-in"/>
        </w:rPr>
        <w:t xml:space="preserve">[Fill in: supply chain risk management activities. Typical: maintaining the supply chain risk management strategy and plans, setting the criteria for supplier assessments and reviewing their results (SR-6), reviewing acquisitions of critical components and services before award, coordinating the response to supply chain compromise notifications (SR-8), and tracking supply chain risks until they are resolved]</w:t>
      </w:r>
      <w:r>
        <w:t xml:space="preserve">. (SR-2(1))</w:t>
      </w:r>
    </w:p>
    <w:p>
      <w:pPr>
        <w:pStyle w:val="Compact"/>
        <w:numPr>
          <w:ilvl w:val="0"/>
          <w:numId w:val="1006"/>
        </w:numPr>
      </w:pPr>
      <w:r>
        <w:t xml:space="preserve">The</w:t>
      </w:r>
      <w:r>
        <w:t xml:space="preserve"> </w:t>
      </w:r>
      <w:r>
        <w:rPr>
          <w:rStyle w:val="Fill-in"/>
        </w:rPr>
        <w:t xml:space="preserve">[Chief Information Security Officer]</w:t>
      </w:r>
      <w:r>
        <w:t xml:space="preserve"> </w:t>
      </w:r>
      <w:r>
        <w:t xml:space="preserve">shall document the team’s membership, roles, responsibilities and decision authority in a charter. (SR-2(1))</w:t>
      </w:r>
    </w:p>
    <w:p>
      <w:pPr>
        <w:pStyle w:val="Compact"/>
        <w:numPr>
          <w:ilvl w:val="0"/>
          <w:numId w:val="1006"/>
        </w:numPr>
      </w:pPr>
      <w:r>
        <w:t xml:space="preserve">The team shall meet at least quarterly, and whenever an acquisition or a supplier notification needs its review, and shall record its decisions. (SR-2(1))</w:t>
      </w:r>
    </w:p>
    <w:bookmarkEnd w:id="24"/>
    <w:bookmarkStart w:id="26" w:name="supply-chain-controls-and-processes-sr-3"/>
    <w:p>
      <w:pPr>
        <w:pStyle w:val="Heading3"/>
      </w:pPr>
      <w:r>
        <w:t xml:space="preserve">Supply chain controls and processes (SR-3)</w:t>
      </w:r>
    </w:p>
    <w:p>
      <w:pPr>
        <w:pStyle w:val="Compact"/>
        <w:numPr>
          <w:ilvl w:val="0"/>
          <w:numId w:val="1007"/>
        </w:numPr>
      </w:pPr>
      <w:r>
        <w:t xml:space="preserve">The</w:t>
      </w:r>
      <w:r>
        <w:t xml:space="preserve"> </w:t>
      </w:r>
      <w:r>
        <w:rPr>
          <w:rStyle w:val="Fill-in"/>
        </w:rPr>
        <w:t xml:space="preserve">[System owner]</w:t>
      </w:r>
      <w:r>
        <w:t xml:space="preserve"> </w:t>
      </w:r>
      <w:r>
        <w:t xml:space="preserve">shall establish a process to identify and address weaknesses or deficiencies in the supply chain elements and processes of</w:t>
      </w:r>
      <w:r>
        <w:t xml:space="preserve"> </w:t>
      </w:r>
      <w:r>
        <w:rPr>
          <w:rStyle w:val="Fill-in"/>
        </w:rPr>
        <w:t xml:space="preserve">[Fill in: the system or system component requiring a process or processes to identify and address weaknesses or deficiencies. Typical: each system and the components and services the criticality analysis (RA-9) identifies as critical]</w:t>
      </w:r>
      <w:r>
        <w:t xml:space="preserve"> </w:t>
      </w:r>
      <w:r>
        <w:t xml:space="preserve">in coordination with</w:t>
      </w:r>
      <w:r>
        <w:t xml:space="preserve"> </w:t>
      </w:r>
      <w:r>
        <w:rPr>
          <w:rStyle w:val="Fill-in"/>
        </w:rPr>
        <w:t xml:space="preserve">[Fill in: supply chain personnel with whom to coordinate the process or processes to identify and address weaknesses or deficiencies in the supply chain elements and processes. Typical: the supply chain risk management team (SR-2(1)), the procurement office, and the designated supply chain contacts of the suppliers and contractors involved]</w:t>
      </w:r>
      <w:r>
        <w:t xml:space="preserve">. (SR-3a)</w:t>
      </w:r>
    </w:p>
    <w:p>
      <w:pPr>
        <w:pStyle w:val="Compact"/>
        <w:numPr>
          <w:ilvl w:val="0"/>
          <w:numId w:val="1007"/>
        </w:numPr>
      </w:pPr>
      <w:r>
        <w:t xml:space="preserve">The process shall draw on supplier assessments, supplier notifications, inspection results, security advisories, incidents, and changes in a supplier’s ownership, location or sources. (SR-3a)</w:t>
      </w:r>
    </w:p>
    <w:p>
      <w:pPr>
        <w:pStyle w:val="Compact"/>
        <w:numPr>
          <w:ilvl w:val="0"/>
          <w:numId w:val="1007"/>
        </w:numPr>
      </w:pPr>
      <w:r>
        <w:t xml:space="preserve">Each weakness or deficiency found shall be recorded in the risk register or the plan of action and milestones, with an owner, a response and a due date. (SR-3a)</w:t>
      </w:r>
    </w:p>
    <w:p>
      <w:pPr>
        <w:pStyle w:val="Compact"/>
        <w:numPr>
          <w:ilvl w:val="0"/>
          <w:numId w:val="1007"/>
        </w:numPr>
      </w:pPr>
      <w:r>
        <w:t xml:space="preserve">The</w:t>
      </w:r>
      <w:r>
        <w:t xml:space="preserve"> </w:t>
      </w:r>
      <w:r>
        <w:rPr>
          <w:rStyle w:val="Fill-in"/>
        </w:rPr>
        <w:t xml:space="preserve">[System owner]</w:t>
      </w:r>
      <w:r>
        <w:t xml:space="preserve"> </w:t>
      </w:r>
      <w:r>
        <w:t xml:space="preserve">shall employ the following controls to protect against supply chain risks to the system, system component or system service and to limit the harm or consequences from supply chain-related events:</w:t>
      </w:r>
      <w:r>
        <w:t xml:space="preserve"> </w:t>
      </w:r>
      <w:r>
        <w:rPr>
          <w:rStyle w:val="Fill-in"/>
        </w:rPr>
        <w:t xml:space="preserve">[Fill in: supply chain controls employed to protect against supply chain risks to the system, system component, or system service and to limit the harm or consequences from supply chain-related events. Typical: the controls the supply chain risk management plan selects, including at least the supply chain terms of the acquisition security requirements standard (SA-4, SR-5), supplier assessments (SR-6), notification agreements (SR-8), inspection of components on receipt and after repair (SR-10), anti-counterfeit measures (SR-11) and controlled disposal (SR-12)]</w:t>
      </w:r>
      <w:r>
        <w:t xml:space="preserve">. (SR-3b)</w:t>
      </w:r>
    </w:p>
    <w:p>
      <w:pPr>
        <w:pStyle w:val="Compact"/>
        <w:numPr>
          <w:ilvl w:val="0"/>
          <w:numId w:val="1007"/>
        </w:numPr>
      </w:pPr>
      <w:r>
        <w:t xml:space="preserve">The</w:t>
      </w:r>
      <w:r>
        <w:t xml:space="preserve"> </w:t>
      </w:r>
      <w:r>
        <w:rPr>
          <w:rStyle w:val="Fill-in"/>
        </w:rPr>
        <w:t xml:space="preserve">[System owner]</w:t>
      </w:r>
      <w:r>
        <w:t xml:space="preserve"> </w:t>
      </w:r>
      <w:r>
        <w:t xml:space="preserve">shall document the selected and implemented supply chain processes and controls in</w:t>
      </w:r>
      <w:r>
        <w:t xml:space="preserve"> </w:t>
      </w:r>
      <w:r>
        <w:rPr>
          <w:rStyle w:val="Fill-in"/>
        </w:rPr>
        <w:t xml:space="preserve">[Select one or more: security and privacy plans; supply chain risk management plan; [Assignment: organization-defined document]. Typical: the supply chain risk management plan, summarized and referenced in the security and privacy plans]</w:t>
      </w:r>
      <w:r>
        <w:t xml:space="preserve">. (SR-3c)</w:t>
      </w:r>
    </w:p>
    <w:bookmarkStart w:id="25" w:name="federal-systems-1"/>
    <w:p>
      <w:pPr>
        <w:pStyle w:val="Heading4"/>
      </w:pPr>
      <w:r>
        <w:t xml:space="preserve">Federal systems</w:t>
      </w:r>
    </w:p>
    <w:p>
      <w:pPr>
        <w:pStyle w:val="FirstParagraph"/>
      </w:pPr>
      <w:hyperlink r:id="rId19">
        <w:r>
          <w:rPr>
            <w:rStyle w:val="Hyperlink"/>
          </w:rPr>
          <w:t xml:space="preserve">OMB Circular A-130</w:t>
        </w:r>
      </w:hyperlink>
      <w:r>
        <w:t xml:space="preserve">, Appendix I, section 3.b(8), requires agencies’ information security and privacy programs to implement supply chain risk management principles to protect against the insertion of counterfeits, unauthorized production, tampering, theft, insertion of malicious software, and poor manufacturing and development practices throughout the system development life cycle.</w:t>
      </w:r>
      <w:r>
        <w:t xml:space="preserve"> </w:t>
      </w:r>
      <w:hyperlink r:id="rId20">
        <w:r>
          <w:rPr>
            <w:rStyle w:val="Hyperlink"/>
          </w:rPr>
          <w:t xml:space="preserve">41 U.S.C. § 1326</w:t>
        </w:r>
      </w:hyperlink>
      <w:r>
        <w:t xml:space="preserve">(b)(2) includes integrating supply chain risk management practices throughout the life cycle of the system, component, service or asset in each agency’s responsibilities. Text checked in the United States Code, 2024 edition, as of October 2026.</w:t>
      </w:r>
    </w:p>
    <w:p>
      <w:pPr>
        <w:pStyle w:val="Compact"/>
        <w:numPr>
          <w:ilvl w:val="0"/>
          <w:numId w:val="1008"/>
        </w:numPr>
      </w:pPr>
      <w:r>
        <w:t xml:space="preserve">The</w:t>
      </w:r>
      <w:r>
        <w:t xml:space="preserve"> </w:t>
      </w:r>
      <w:r>
        <w:rPr>
          <w:rStyle w:val="Fill-in"/>
        </w:rPr>
        <w:t xml:space="preserve">[System owner]</w:t>
      </w:r>
      <w:r>
        <w:t xml:space="preserve"> </w:t>
      </w:r>
      <w:r>
        <w:t xml:space="preserve">shall ensure the controls selected under SR-3b protect against the insertion of counterfeits, unauthorized production, tampering, theft, insertion of malicious software, and poor manufacturing and development practices throughout the system development life cycle, as OMB Circular A-130, Appendix I, section 3.b(8), requires. (SR-3b)</w:t>
      </w:r>
    </w:p>
    <w:bookmarkEnd w:id="25"/>
    <w:bookmarkEnd w:id="26"/>
    <w:bookmarkStart w:id="31" w:name="X0e0dc855e1dd10b4eae943530f4a58da9a63d02"/>
    <w:p>
      <w:pPr>
        <w:pStyle w:val="Heading3"/>
      </w:pPr>
      <w:r>
        <w:t xml:space="preserve">Acquisition strategies, tools and methods (SR-5)</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shall employ the following acquisition strategies, contract tools and procurement methods to protect against, identify and mitigate supply chain risks:</w:t>
      </w:r>
      <w:r>
        <w:t xml:space="preserve"> </w:t>
      </w:r>
      <w:r>
        <w:rPr>
          <w:rStyle w:val="Fill-in"/>
        </w:rPr>
        <w:t xml:space="preserve">[Fill in: acquisition strategies, contract tools, and procurement methods to protect against, identify, and mitigate supply chain risks. Typical: the supply chain terms of the acquisition security requirements standard, including identification of the origin of critical components and flow-down to subcontractors; contract language prohibiting counterfeit or tainted components; purchase of hardware and software only from original manufacturers, their authorized distributors or resellers, or suppliers the supply chain risk management team has assessed; a supplier risk assessment before award as part of source selection for critical components and services; and tamper-evident packaging and tracked delivery for hardware]</w:t>
      </w:r>
      <w:r>
        <w:t xml:space="preserve">. (SR-5)</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shall ensure each acquisition of a component or service that the criticality analysis (RA-9) identifies as critical is reviewed by the supply chain risk management team before award. (SR-5)</w:t>
      </w:r>
    </w:p>
    <w:p>
      <w:pPr>
        <w:pStyle w:val="Compact"/>
        <w:numPr>
          <w:ilvl w:val="0"/>
          <w:numId w:val="1009"/>
        </w:numPr>
      </w:pPr>
      <w:r>
        <w:t xml:space="preserve">The results of the system’s supply chain risk assessment (RA-3(1)) shall inform the strategies, tools and methods chosen for each such acquisition. (SR-5)</w:t>
      </w:r>
    </w:p>
    <w:bookmarkStart w:id="30" w:name="federal-systems-2"/>
    <w:p>
      <w:pPr>
        <w:pStyle w:val="Heading4"/>
      </w:pPr>
      <w:r>
        <w:t xml:space="preserve">Federal systems</w:t>
      </w:r>
    </w:p>
    <w:p>
      <w:pPr>
        <w:pStyle w:val="FirstParagraph"/>
      </w:pPr>
      <w:hyperlink r:id="rId19">
        <w:r>
          <w:rPr>
            <w:rStyle w:val="Hyperlink"/>
          </w:rPr>
          <w:t xml:space="preserve">OMB Circular A-130</w:t>
        </w:r>
      </w:hyperlink>
      <w:r>
        <w:t xml:space="preserve">, section 5.d(1)(a), requires agencies, when acquiring information technology, to analyze risks (including supply chain risks) associated with potential contractors and the products and services they provide, and to allocate risk responsibility between Government and contractor. Under</w:t>
      </w:r>
      <w:r>
        <w:t xml:space="preserve"> </w:t>
      </w:r>
      <w:hyperlink r:id="rId27">
        <w:r>
          <w:rPr>
            <w:rStyle w:val="Hyperlink"/>
          </w:rPr>
          <w:t xml:space="preserve">41 U.S.C. § 1323</w:t>
        </w:r>
      </w:hyperlink>
      <w:r>
        <w:t xml:space="preserve">(c)(5) and (7), the Secretary of Homeland Security, the Secretary of Defense and the Director of National Intelligence may issue orders, on the Federal Acquisition Security Council’s recommendation, excluding sources or covered articles from executive agency procurement actions or requiring the removal of covered articles from executive agency information systems, and requires executive agencies to comply with those orders;</w:t>
      </w:r>
      <w:r>
        <w:t xml:space="preserve"> </w:t>
      </w:r>
      <w:hyperlink r:id="rId28">
        <w:r>
          <w:rPr>
            <w:rStyle w:val="Hyperlink"/>
          </w:rPr>
          <w:t xml:space="preserve">41 CFR 201-1.304</w:t>
        </w:r>
      </w:hyperlink>
      <w:r>
        <w:t xml:space="preserve"> </w:t>
      </w:r>
      <w:r>
        <w:t xml:space="preserve">repeats the duty and sets out how an agency requests an exception.</w:t>
      </w:r>
      <w:r>
        <w:t xml:space="preserve"> </w:t>
      </w:r>
      <w:hyperlink r:id="rId29">
        <w:r>
          <w:rPr>
            <w:rStyle w:val="Hyperlink"/>
          </w:rPr>
          <w:t xml:space="preserve">OMB M-26-05</w:t>
        </w:r>
      </w:hyperlink>
      <w:r>
        <w:t xml:space="preserve">, Adopting a Risk-based Approach to Software and Hardware Security (January 23, 2026), requires agencies to develop software and hardware assurance policies and processes that match their risk determinations and mission needs, and lets them choose to use the Secure Software Development Attestation Form and contract terms requiring a current software bill of materials on request; it names CISA’s hardware bill of materials framework as a reference. Statute checked in the United States Code, 2024 edition, as of October 2026.</w:t>
      </w:r>
    </w:p>
    <w:p>
      <w:pPr>
        <w:pStyle w:val="Compact"/>
        <w:numPr>
          <w:ilvl w:val="0"/>
          <w:numId w:val="1010"/>
        </w:numPr>
      </w:pPr>
      <w:r>
        <w:t xml:space="preserve">The</w:t>
      </w:r>
      <w:r>
        <w:t xml:space="preserve"> </w:t>
      </w:r>
      <w:r>
        <w:rPr>
          <w:rStyle w:val="Fill-in"/>
        </w:rPr>
        <w:t xml:space="preserve">[Chief Information Security Officer]</w:t>
      </w:r>
      <w:r>
        <w:t xml:space="preserve"> </w:t>
      </w:r>
      <w:r>
        <w:t xml:space="preserve">shall ensure each acquisition of information technology analyzes the supply chain risks associated with potential contractors and the products and services they provide, and allocates risk responsibility between the Government and the contractor, as OMB Circular A-130, section 5.d(1)(a), requires. (SR-5)</w:t>
      </w:r>
    </w:p>
    <w:p>
      <w:pPr>
        <w:pStyle w:val="Compact"/>
        <w:numPr>
          <w:ilvl w:val="0"/>
          <w:numId w:val="1010"/>
        </w:numPr>
      </w:pPr>
      <w:r>
        <w:t xml:space="preserve">The</w:t>
      </w:r>
      <w:r>
        <w:t xml:space="preserve"> </w:t>
      </w:r>
      <w:r>
        <w:rPr>
          <w:rStyle w:val="Fill-in"/>
        </w:rPr>
        <w:t xml:space="preserve">[Chief Information Security Officer]</w:t>
      </w:r>
      <w:r>
        <w:t xml:space="preserve"> </w:t>
      </w:r>
      <w:r>
        <w:t xml:space="preserve">shall track the exclusion and removal orders issued under 41 U.S.C. § 1323(c)(5) that apply to the agency, ensure that procurement actions exclude the sources and covered articles they name, and ensure that system owners remove named covered articles from the agency’s systems, as 41 U.S.C. § 1323(c)(7) and 41 CFR 201-1.304 require. (SR-5)</w:t>
      </w:r>
    </w:p>
    <w:p>
      <w:pPr>
        <w:pStyle w:val="Compact"/>
        <w:numPr>
          <w:ilvl w:val="0"/>
          <w:numId w:val="1010"/>
        </w:numPr>
      </w:pPr>
      <w:r>
        <w:t xml:space="preserve">The</w:t>
      </w:r>
      <w:r>
        <w:t xml:space="preserve"> </w:t>
      </w:r>
      <w:r>
        <w:rPr>
          <w:rStyle w:val="Fill-in"/>
        </w:rPr>
        <w:t xml:space="preserve">[Chief Information Security Officer]</w:t>
      </w:r>
      <w:r>
        <w:t xml:space="preserve"> </w:t>
      </w:r>
      <w:r>
        <w:t xml:space="preserve">shall apply the agency’s software and hardware assurance policy under OMB M-26-05 when choosing the strategies, tools and methods for each acquisition. (SR-5)</w:t>
      </w:r>
    </w:p>
    <w:bookmarkEnd w:id="30"/>
    <w:bookmarkEnd w:id="31"/>
    <w:bookmarkStart w:id="35" w:name="supplier-assessments-and-reviews-sr-6"/>
    <w:p>
      <w:pPr>
        <w:pStyle w:val="Heading3"/>
      </w:pPr>
      <w:r>
        <w:t xml:space="preserve">Supplier assessments and reviews (SR-6)</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assess and review the supply chain-related risks associated with suppliers or contractors and the systems, system components or system services they provide</w:t>
      </w:r>
      <w:r>
        <w:t xml:space="preserve"> </w:t>
      </w:r>
      <w:r>
        <w:rPr>
          <w:rStyle w:val="Fill-in"/>
        </w:rPr>
        <w:t xml:space="preserve">[Fill in: the frequency at which to assess and review the supply chain-related risks associated with suppliers or contractors and the systems, system components, or system services they provide. Typical: before each contract award or renewal, and annually for suppliers of critical components and services]</w:t>
      </w:r>
      <w:r>
        <w:t xml:space="preserve">. (SR-6)</w:t>
      </w:r>
    </w:p>
    <w:p>
      <w:pPr>
        <w:pStyle w:val="Compact"/>
        <w:numPr>
          <w:ilvl w:val="0"/>
          <w:numId w:val="1011"/>
        </w:numPr>
      </w:pPr>
      <w:r>
        <w:t xml:space="preserve">Each assessment shall cover the supplier’s security and supply chain risk management processes, its foreign ownership, control or influence, its ability to assess its own second- and third-tier suppliers, its documented processes and controls, and publicly available information about it. (SR-6)</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apply the same core risk factors and criteria to every supplier assessment, and record the sources of information each one relied on. (SR-6)</w:t>
      </w:r>
    </w:p>
    <w:p>
      <w:pPr>
        <w:pStyle w:val="Compact"/>
        <w:numPr>
          <w:ilvl w:val="0"/>
          <w:numId w:val="1011"/>
        </w:numPr>
      </w:pPr>
      <w:r>
        <w:t xml:space="preserve">A contract for a critical component or service shall not be awarded or renewed until its supplier assessment is complete and each risk found is accepted or has a planned response. (SR-6)</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have the supply chain risk management team monitor publicly available information about the suppliers of critical components and services for indications of stolen information, poor development or quality control practices, information spillage or counterfeits. (SR-6)</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share assessment and review results with other organizations only as applicable rules, policies, agreements or contracts allow or require. (SR-6)</w:t>
      </w:r>
    </w:p>
    <w:bookmarkStart w:id="34" w:name="federal-systems-3"/>
    <w:p>
      <w:pPr>
        <w:pStyle w:val="Heading4"/>
      </w:pPr>
      <w:r>
        <w:t xml:space="preserve">Federal systems</w:t>
      </w:r>
    </w:p>
    <w:p>
      <w:pPr>
        <w:pStyle w:val="FirstParagraph"/>
      </w:pPr>
      <w:hyperlink r:id="rId20">
        <w:r>
          <w:rPr>
            <w:rStyle w:val="Hyperlink"/>
          </w:rPr>
          <w:t xml:space="preserve">41 U.S.C. § 1326</w:t>
        </w:r>
      </w:hyperlink>
      <w:r>
        <w:t xml:space="preserve">(a) makes the head of each executive agency responsible for assessing the supply chain risk posed by the acquisition and use of covered articles, and for prioritizing those assessments based on the criticality of the mission, system, component, service or asset.</w:t>
      </w:r>
      <w:r>
        <w:t xml:space="preserve"> </w:t>
      </w:r>
      <w:hyperlink r:id="rId32">
        <w:r>
          <w:rPr>
            <w:rStyle w:val="Hyperlink"/>
          </w:rPr>
          <w:t xml:space="preserve">NIST SP 800-161 Rev. 1</w:t>
        </w:r>
      </w:hyperlink>
      <w:r>
        <w:t xml:space="preserve">, Cybersecurity Supply Chain Risk Management Practices for Systems and Organizations (May 2022, updated November 1, 2024; current as of October 2026), Appendix E, gives federal agencies baseline risk factors (section E.2.2) to address, at a minimum, for assessments of critical sources and covered articles, and says (section E.2.1) that determining assessment priorities, evaluating impact and making risk response decisions are inherently governmental functions that cannot be outsourced, although a qualified, vetted third party may support research and documentation. Under</w:t>
      </w:r>
      <w:r>
        <w:t xml:space="preserve"> </w:t>
      </w:r>
      <w:hyperlink r:id="rId33">
        <w:r>
          <w:rPr>
            <w:rStyle w:val="Hyperlink"/>
          </w:rPr>
          <w:t xml:space="preserve">41 CFR 201-1.201(b)</w:t>
        </w:r>
      </w:hyperlink>
      <w:r>
        <w:t xml:space="preserve">, an executive agency must expeditiously submit supply chain risk information to the Federal Acquisition Security Council’s information sharing agency when the Council requests it, or when the agency determines there is a reasonable basis to conclude that a substantial supply chain risk exists in connection with a source or covered article. Statute checked in the United States Code, 2024 edition, and regulation in the eCFR, as of October 2026.</w:t>
      </w:r>
    </w:p>
    <w:p>
      <w:pPr>
        <w:pStyle w:val="Compact"/>
        <w:numPr>
          <w:ilvl w:val="0"/>
          <w:numId w:val="1012"/>
        </w:numPr>
      </w:pPr>
      <w:r>
        <w:t xml:space="preserve">The</w:t>
      </w:r>
      <w:r>
        <w:t xml:space="preserve"> </w:t>
      </w:r>
      <w:r>
        <w:rPr>
          <w:rStyle w:val="Fill-in"/>
        </w:rPr>
        <w:t xml:space="preserve">[Chief Information Security Officer]</w:t>
      </w:r>
      <w:r>
        <w:t xml:space="preserve"> </w:t>
      </w:r>
      <w:r>
        <w:t xml:space="preserve">shall prioritize supplier assessments by the criticality of the mission, system, component, service or asset, as 41 U.S.C. § 1326(a)(2) requires. (SR-6)</w:t>
      </w:r>
    </w:p>
    <w:p>
      <w:pPr>
        <w:pStyle w:val="Compact"/>
        <w:numPr>
          <w:ilvl w:val="0"/>
          <w:numId w:val="1012"/>
        </w:numPr>
      </w:pPr>
      <w:r>
        <w:t xml:space="preserve">Assessments of critical sources and covered articles shall address every baseline risk factor in NIST SP 800-161 Rev. 1, Appendix E, section E.2.2. (SR-6)</w:t>
      </w:r>
    </w:p>
    <w:p>
      <w:pPr>
        <w:pStyle w:val="Compact"/>
        <w:numPr>
          <w:ilvl w:val="0"/>
          <w:numId w:val="1012"/>
        </w:numPr>
      </w:pPr>
      <w:r>
        <w:t xml:space="preserve">Agency officials shall set assessment priorities and make each risk response decision; a contractor may support the research and documentation but shall not make those decisions. (SR-6)</w:t>
      </w:r>
    </w:p>
    <w:p>
      <w:pPr>
        <w:pStyle w:val="Compact"/>
        <w:numPr>
          <w:ilvl w:val="0"/>
          <w:numId w:val="1012"/>
        </w:numPr>
      </w:pPr>
      <w:r>
        <w:t xml:space="preserve">When the agency determines there is a reasonable basis to conclude that a substantial supply chain risk exists in connection with a source or covered article, the</w:t>
      </w:r>
      <w:r>
        <w:t xml:space="preserve"> </w:t>
      </w:r>
      <w:r>
        <w:rPr>
          <w:rStyle w:val="Fill-in"/>
        </w:rPr>
        <w:t xml:space="preserve">[Chief Information Security Officer]</w:t>
      </w:r>
      <w:r>
        <w:t xml:space="preserve"> </w:t>
      </w:r>
      <w:r>
        <w:t xml:space="preserve">shall submit the relevant supply chain risk information to the Federal Acquisition Security Council’s information sharing agency, as 41 CFR 201-1.201(b) requires. (SR-6)</w:t>
      </w:r>
    </w:p>
    <w:bookmarkEnd w:id="34"/>
    <w:bookmarkEnd w:id="35"/>
    <w:bookmarkStart w:id="37" w:name="notification-agreements-sr-8"/>
    <w:p>
      <w:pPr>
        <w:pStyle w:val="Heading3"/>
      </w:pPr>
      <w:r>
        <w:t xml:space="preserve">Notification agreements (SR-8)</w:t>
      </w:r>
    </w:p>
    <w:p>
      <w:pPr>
        <w:pStyle w:val="Compact"/>
        <w:numPr>
          <w:ilvl w:val="0"/>
          <w:numId w:val="1013"/>
        </w:numPr>
      </w:pPr>
      <w:r>
        <w:t xml:space="preserve">The</w:t>
      </w:r>
      <w:r>
        <w:t xml:space="preserve"> </w:t>
      </w:r>
      <w:r>
        <w:rPr>
          <w:rStyle w:val="Fill-in"/>
        </w:rPr>
        <w:t xml:space="preserve">[Chief Information Security Officer]</w:t>
      </w:r>
      <w:r>
        <w:t xml:space="preserve"> </w:t>
      </w:r>
      <w:r>
        <w:t xml:space="preserve">shall establish agreements and procedures with the entities involved in the supply chain for the system, system component or system service for</w:t>
      </w:r>
      <w:r>
        <w:t xml:space="preserve"> </w:t>
      </w:r>
      <w:r>
        <w:rPr>
          <w:rStyle w:val="Fill-in"/>
        </w:rPr>
        <w:t xml:space="preserve">[Select one or more: notification of supply chain compromises; [Assignment: organization-defined results of assessments or audits]. Typical: notification of supply chain compromises, and the results of assessments or audits]</w:t>
      </w:r>
      <w:r>
        <w:t xml:space="preserve">. (SR-8)</w:t>
      </w:r>
    </w:p>
    <w:p>
      <w:pPr>
        <w:pStyle w:val="Compact"/>
        <w:numPr>
          <w:ilvl w:val="0"/>
          <w:numId w:val="1013"/>
        </w:numPr>
      </w:pPr>
      <w:r>
        <w:t xml:space="preserve">Each contract for a critical component or service shall require the supplier to notify the organization of a compromise or suspected compromise in its supply chain that may affect the organization’s systems, within the time the acquisition security requirements standard sets for incident notice. (SR-8)</w:t>
      </w:r>
    </w:p>
    <w:p>
      <w:pPr>
        <w:pStyle w:val="Compact"/>
        <w:numPr>
          <w:ilvl w:val="0"/>
          <w:numId w:val="1013"/>
        </w:numPr>
      </w:pPr>
      <w:r>
        <w:t xml:space="preserve">Each such contract shall require the supplier to establish notification agreements with the entities in its own supply chain that have a role in the critical component or service. (SR-8)</w:t>
      </w:r>
    </w:p>
    <w:p>
      <w:pPr>
        <w:pStyle w:val="Compact"/>
        <w:numPr>
          <w:ilvl w:val="0"/>
          <w:numId w:val="1013"/>
        </w:numPr>
      </w:pPr>
      <w:r>
        <w:t xml:space="preserve">The</w:t>
      </w:r>
      <w:r>
        <w:t xml:space="preserve"> </w:t>
      </w:r>
      <w:r>
        <w:rPr>
          <w:rStyle w:val="Fill-in"/>
        </w:rPr>
        <w:t xml:space="preserve">[Chief Information Security Officer]</w:t>
      </w:r>
      <w:r>
        <w:t xml:space="preserve"> </w:t>
      </w:r>
      <w:r>
        <w:t xml:space="preserve">shall keep a current notification contact for each supplier of a critical component or service, and give each supplier the organization’s contact for supply chain notices. (SR-8)</w:t>
      </w:r>
    </w:p>
    <w:p>
      <w:pPr>
        <w:pStyle w:val="Compact"/>
        <w:numPr>
          <w:ilvl w:val="0"/>
          <w:numId w:val="1013"/>
        </w:numPr>
      </w:pPr>
      <w:r>
        <w:t xml:space="preserve">The</w:t>
      </w:r>
      <w:r>
        <w:t xml:space="preserve"> </w:t>
      </w:r>
      <w:r>
        <w:rPr>
          <w:rStyle w:val="Fill-in"/>
        </w:rPr>
        <w:t xml:space="preserve">[Incident response team]</w:t>
      </w:r>
      <w:r>
        <w:t xml:space="preserve"> </w:t>
      </w:r>
      <w:r>
        <w:t xml:space="preserve">shall receive each supplier notification of a compromise and handle it under the</w:t>
      </w:r>
      <w:r>
        <w:t xml:space="preserve"> </w:t>
      </w:r>
      <w:hyperlink r:id="rId36">
        <w:r>
          <w:rPr>
            <w:rStyle w:val="Hyperlink"/>
          </w:rPr>
          <w:t xml:space="preserve">incident response plan</w:t>
        </w:r>
      </w:hyperlink>
      <w:r>
        <w:t xml:space="preserve">, with the supply chain risk management team identifying the affected systems and components. (SR-8)</w:t>
      </w:r>
    </w:p>
    <w:bookmarkEnd w:id="37"/>
    <w:bookmarkStart w:id="38" w:name="tamper-resistance-and-detection-sr-9"/>
    <w:p>
      <w:pPr>
        <w:pStyle w:val="Heading3"/>
      </w:pPr>
      <w:r>
        <w:t xml:space="preserve">Tamper resistance and detection (SR-9)</w:t>
      </w:r>
    </w:p>
    <w:p>
      <w:pPr>
        <w:pStyle w:val="Compact"/>
        <w:numPr>
          <w:ilvl w:val="0"/>
          <w:numId w:val="1014"/>
        </w:numPr>
      </w:pPr>
      <w:r>
        <w:t xml:space="preserve">The</w:t>
      </w:r>
      <w:r>
        <w:t xml:space="preserve"> </w:t>
      </w:r>
      <w:r>
        <w:rPr>
          <w:rStyle w:val="Fill-in"/>
        </w:rPr>
        <w:t xml:space="preserve">[Chief Information Security Officer]</w:t>
      </w:r>
      <w:r>
        <w:t xml:space="preserve"> </w:t>
      </w:r>
      <w:r>
        <w:t xml:space="preserve">shall implement a tamper protection program for the system, system components and system services. (SR-9)</w:t>
      </w:r>
    </w:p>
    <w:p>
      <w:pPr>
        <w:pStyle w:val="Compact"/>
        <w:numPr>
          <w:ilvl w:val="0"/>
          <w:numId w:val="1014"/>
        </w:numPr>
      </w:pPr>
      <w:r>
        <w:t xml:space="preserve">The program shall cover, at a minimum, the components the criticality analysis (RA-9) identifies as critical. (SR-9)</w:t>
      </w:r>
    </w:p>
    <w:p>
      <w:pPr>
        <w:pStyle w:val="Compact"/>
        <w:numPr>
          <w:ilvl w:val="0"/>
          <w:numId w:val="1014"/>
        </w:numPr>
      </w:pPr>
      <w:r>
        <w:t xml:space="preserve">The program shall combine strong identification of components, such as serial numbers recorded in the component inventory and cryptographic device identities where components support them, with tamper resistance and tamper detection. (SR-9)</w:t>
      </w:r>
    </w:p>
    <w:p>
      <w:pPr>
        <w:pStyle w:val="Compact"/>
        <w:numPr>
          <w:ilvl w:val="0"/>
          <w:numId w:val="1014"/>
        </w:numPr>
      </w:pPr>
      <w:r>
        <w:t xml:space="preserve">The program shall protect components in distribution, with tamper-evident packaging and tracked or controlled delivery, and in use, with tamper-evident seals or chassis intrusion detection on critical hardware and verification of firmware and software integrity at startup or installation (SI-7). (SR-9)</w:t>
      </w:r>
    </w:p>
    <w:p>
      <w:pPr>
        <w:pStyle w:val="Compact"/>
        <w:numPr>
          <w:ilvl w:val="0"/>
          <w:numId w:val="1014"/>
        </w:numPr>
      </w:pPr>
      <w:r>
        <w:t xml:space="preserve">A component that shows evidence of tampering shall be kept out of service and reported as an incident under the incident response plan. (SR-9)</w:t>
      </w:r>
    </w:p>
    <w:bookmarkEnd w:id="38"/>
    <w:bookmarkStart w:id="39" w:name="Xdda09f33b45a9fef119627d882ee78335af1b8f"/>
    <w:p>
      <w:pPr>
        <w:pStyle w:val="Heading3"/>
      </w:pPr>
      <w:r>
        <w:t xml:space="preserve">Multiple stages of system development life cycle (SR-9(1))</w:t>
      </w:r>
    </w:p>
    <w:p>
      <w:pPr>
        <w:pStyle w:val="Compact"/>
        <w:numPr>
          <w:ilvl w:val="0"/>
          <w:numId w:val="1015"/>
        </w:numPr>
      </w:pPr>
      <w:r>
        <w:t xml:space="preserve">The</w:t>
      </w:r>
      <w:r>
        <w:t xml:space="preserve"> </w:t>
      </w:r>
      <w:r>
        <w:rPr>
          <w:rStyle w:val="Fill-in"/>
        </w:rPr>
        <w:t xml:space="preserve">[System owner]</w:t>
      </w:r>
      <w:r>
        <w:t xml:space="preserve"> </w:t>
      </w:r>
      <w:r>
        <w:t xml:space="preserve">shall employ anti-tamper technologies, tools and techniques throughout the system development life cycle: research and development, design, manufacturing, acquisition, delivery, integration, operations and maintenance, and disposal. (SR-9(1))</w:t>
      </w:r>
    </w:p>
    <w:p>
      <w:pPr>
        <w:pStyle w:val="Compact"/>
        <w:numPr>
          <w:ilvl w:val="0"/>
          <w:numId w:val="1015"/>
        </w:numPr>
      </w:pPr>
      <w:r>
        <w:t xml:space="preserve">Contracts for custom or critical components shall state the anti-tamper requirements the developer or manufacturer must meet in each phase it performs. (SR-9(1))</w:t>
      </w:r>
    </w:p>
    <w:p>
      <w:pPr>
        <w:pStyle w:val="Compact"/>
        <w:numPr>
          <w:ilvl w:val="0"/>
          <w:numId w:val="1015"/>
        </w:numPr>
      </w:pPr>
      <w:r>
        <w:t xml:space="preserve">The supply chain risk management plan shall record which anti-tamper measures apply in each phase of the life cycle. (SR-9(1))</w:t>
      </w:r>
    </w:p>
    <w:bookmarkEnd w:id="39"/>
    <w:bookmarkStart w:id="40" w:name="X3cb789ce30c60622bd1ccdb673fcca52c739b4f"/>
    <w:p>
      <w:pPr>
        <w:pStyle w:val="Heading3"/>
      </w:pPr>
      <w:r>
        <w:t xml:space="preserve">Inspection of systems or components (SR-10)</w:t>
      </w:r>
    </w:p>
    <w:p>
      <w:pPr>
        <w:pStyle w:val="Compact"/>
        <w:numPr>
          <w:ilvl w:val="0"/>
          <w:numId w:val="1016"/>
        </w:numPr>
      </w:pPr>
      <w:r>
        <w:t xml:space="preserve">The</w:t>
      </w:r>
      <w:r>
        <w:t xml:space="preserve"> </w:t>
      </w:r>
      <w:r>
        <w:rPr>
          <w:rStyle w:val="Fill-in"/>
        </w:rPr>
        <w:t xml:space="preserve">[System owner]</w:t>
      </w:r>
      <w:r>
        <w:t xml:space="preserve"> </w:t>
      </w:r>
      <w:r>
        <w:t xml:space="preserve">shall inspect</w:t>
      </w:r>
      <w:r>
        <w:t xml:space="preserve"> </w:t>
      </w:r>
      <w:r>
        <w:rPr>
          <w:rStyle w:val="Fill-in"/>
        </w:rPr>
        <w:t xml:space="preserve">[Fill in: systems or system components that require inspection. Typical: the components the criticality analysis (RA-9) identifies as critical, and any component that has been outside organization-controlled areas, such as for off-site repair or travel]</w:t>
      </w:r>
      <w:r>
        <w:t xml:space="preserve"> </w:t>
      </w:r>
      <w:r>
        <w:rPr>
          <w:rStyle w:val="Fill-in"/>
        </w:rPr>
        <w:t xml:space="preserve">[Select one or more: at random; at [Assignment: organization-defined frequency]; upon [Assignment: organization-defined indications of need for inspection]. Typical: before first use and annually thereafter, and upon indications of a need for inspection]</w:t>
      </w:r>
      <w:r>
        <w:t xml:space="preserve"> </w:t>
      </w:r>
      <w:r>
        <w:t xml:space="preserve">to detect tampering. (SR-10)</w:t>
      </w:r>
    </w:p>
    <w:p>
      <w:pPr>
        <w:pStyle w:val="Compact"/>
        <w:numPr>
          <w:ilvl w:val="0"/>
          <w:numId w:val="1016"/>
        </w:numPr>
      </w:pPr>
      <w:r>
        <w:t xml:space="preserve">Each inspection shall check for physical tampering, such as broken seals, altered packaging, missing or mismatched labels and serial numbers, and signs a case was opened, and for logical tampering, such as firmware or software that does not match the version and the hash or signature the manufacturer publishes. (SR-10)</w:t>
      </w:r>
    </w:p>
    <w:p>
      <w:pPr>
        <w:pStyle w:val="Compact"/>
        <w:numPr>
          <w:ilvl w:val="0"/>
          <w:numId w:val="1016"/>
        </w:numPr>
      </w:pPr>
      <w:r>
        <w:t xml:space="preserve">Each inspection shall be recorded with the component, the date, who inspected it and the result. (SR-10)</w:t>
      </w:r>
    </w:p>
    <w:p>
      <w:pPr>
        <w:pStyle w:val="Compact"/>
        <w:numPr>
          <w:ilvl w:val="0"/>
          <w:numId w:val="1016"/>
        </w:numPr>
      </w:pPr>
      <w:r>
        <w:t xml:space="preserve">A component that shows signs of tampering shall be kept out of service and reported under the incident response plan (IR-6). (SR-10)</w:t>
      </w:r>
    </w:p>
    <w:p>
      <w:pPr>
        <w:pStyle w:val="Compact"/>
        <w:numPr>
          <w:ilvl w:val="0"/>
          <w:numId w:val="1016"/>
        </w:numPr>
      </w:pPr>
      <w:r>
        <w:t xml:space="preserve">Contracts with the suppliers, integrators and service providers of critical components shall require them to inspect those components for tampering, and to flow the requirement down to their subcontractors. (SR-10)</w:t>
      </w:r>
    </w:p>
    <w:bookmarkEnd w:id="40"/>
    <w:bookmarkStart w:id="41" w:name="component-authenticity-sr-11"/>
    <w:p>
      <w:pPr>
        <w:pStyle w:val="Heading3"/>
      </w:pPr>
      <w:r>
        <w:t xml:space="preserve">Component authenticity (SR-11)</w:t>
      </w:r>
    </w:p>
    <w:p>
      <w:pPr>
        <w:pStyle w:val="Compact"/>
        <w:numPr>
          <w:ilvl w:val="0"/>
          <w:numId w:val="1017"/>
        </w:numPr>
      </w:pPr>
      <w:r>
        <w:t xml:space="preserve">The</w:t>
      </w:r>
      <w:r>
        <w:t xml:space="preserve"> </w:t>
      </w:r>
      <w:r>
        <w:rPr>
          <w:rStyle w:val="Fill-in"/>
        </w:rPr>
        <w:t xml:space="preserve">[Chief Information Security Officer]</w:t>
      </w:r>
      <w:r>
        <w:t xml:space="preserve"> </w:t>
      </w:r>
      <w:r>
        <w:t xml:space="preserve">shall develop and implement anti-counterfeit procedures that include the means to detect and prevent counterfeit components from entering the system. (SR-11a)</w:t>
      </w:r>
    </w:p>
    <w:p>
      <w:pPr>
        <w:pStyle w:val="Compact"/>
        <w:numPr>
          <w:ilvl w:val="0"/>
          <w:numId w:val="1017"/>
        </w:numPr>
      </w:pPr>
      <w:r>
        <w:t xml:space="preserve">Hardware, software and firmware shall be obtained only from the original manufacturer, its authorized distributors or resellers, or a source the supply chain risk management team has assessed and approved. (SR-11a)</w:t>
      </w:r>
    </w:p>
    <w:p>
      <w:pPr>
        <w:pStyle w:val="Compact"/>
        <w:numPr>
          <w:ilvl w:val="0"/>
          <w:numId w:val="1017"/>
        </w:numPr>
      </w:pPr>
      <w:r>
        <w:t xml:space="preserve">Each component shall be checked on receipt against the order and the manufacturer’s identifiers, such as part and serial numbers, labels and packaging. (SR-11a)</w:t>
      </w:r>
    </w:p>
    <w:p>
      <w:pPr>
        <w:pStyle w:val="Compact"/>
        <w:numPr>
          <w:ilvl w:val="0"/>
          <w:numId w:val="1017"/>
        </w:numPr>
      </w:pPr>
      <w:r>
        <w:t xml:space="preserve">Software, firmware and updates shall be verified by digital signature or the manufacturer’s published hash before installation. (SR-11a)</w:t>
      </w:r>
    </w:p>
    <w:p>
      <w:pPr>
        <w:pStyle w:val="Compact"/>
        <w:numPr>
          <w:ilvl w:val="0"/>
          <w:numId w:val="1017"/>
        </w:numPr>
      </w:pPr>
      <w:r>
        <w:t xml:space="preserve">A suspected counterfeit component shall be quarantined and kept out of the system until the investigation is complete, and shall not be returned to the seller before then. (SR-11a)</w:t>
      </w:r>
    </w:p>
    <w:p>
      <w:pPr>
        <w:pStyle w:val="Compact"/>
        <w:numPr>
          <w:ilvl w:val="0"/>
          <w:numId w:val="1017"/>
        </w:numPr>
      </w:pPr>
      <w:r>
        <w:t xml:space="preserve">A counterfeit component found installed in a system shall be handled as an incident under the incident response plan. (SR-11a)</w:t>
      </w:r>
    </w:p>
    <w:p>
      <w:pPr>
        <w:pStyle w:val="Compact"/>
        <w:numPr>
          <w:ilvl w:val="0"/>
          <w:numId w:val="1017"/>
        </w:numPr>
      </w:pPr>
      <w:r>
        <w:t xml:space="preserve">The</w:t>
      </w:r>
      <w:r>
        <w:t xml:space="preserve"> </w:t>
      </w:r>
      <w:r>
        <w:rPr>
          <w:rStyle w:val="Fill-in"/>
        </w:rPr>
        <w:t xml:space="preserve">[Chief Information Security Officer]</w:t>
      </w:r>
      <w:r>
        <w:t xml:space="preserve"> </w:t>
      </w:r>
      <w:r>
        <w:t xml:space="preserve">shall report counterfeit system components to</w:t>
      </w:r>
      <w:r>
        <w:t xml:space="preserve"> </w:t>
      </w:r>
      <w:r>
        <w:rPr>
          <w:rStyle w:val="Fill-in"/>
        </w:rPr>
        <w:t xml:space="preserve">[Select one or more: source of counterfeit component; [Assignment: organization-defined external reporting organizations]; [Assignment: organization-defined personnel or roles]. Typical: the source of the counterfeit component, the original manufacturer and CISA, and the Chief Information Security Officer, the supply chain risk management team and the system owner]</w:t>
      </w:r>
      <w:r>
        <w:t xml:space="preserve">. (SR-11b)</w:t>
      </w:r>
    </w:p>
    <w:bookmarkEnd w:id="41"/>
    <w:bookmarkStart w:id="42" w:name="anti-counterfeit-training-sr-111"/>
    <w:p>
      <w:pPr>
        <w:pStyle w:val="Heading3"/>
      </w:pPr>
      <w:r>
        <w:t xml:space="preserve">Anti-counterfeit training (SR-11(1))</w:t>
      </w:r>
    </w:p>
    <w:p>
      <w:pPr>
        <w:pStyle w:val="Compact"/>
        <w:numPr>
          <w:ilvl w:val="0"/>
          <w:numId w:val="1018"/>
        </w:numPr>
      </w:pPr>
      <w:r>
        <w:t xml:space="preserve">The</w:t>
      </w:r>
      <w:r>
        <w:t xml:space="preserve"> </w:t>
      </w:r>
      <w:r>
        <w:rPr>
          <w:rStyle w:val="Fill-in"/>
        </w:rPr>
        <w:t xml:space="preserve">[Chief Information Security Officer]</w:t>
      </w:r>
      <w:r>
        <w:t xml:space="preserve"> </w:t>
      </w:r>
      <w:r>
        <w:t xml:space="preserve">shall train</w:t>
      </w:r>
      <w:r>
        <w:t xml:space="preserve"> </w:t>
      </w:r>
      <w:r>
        <w:rPr>
          <w:rStyle w:val="Fill-in"/>
        </w:rPr>
        <w:t xml:space="preserve">[Fill in: personnel or roles requiring training to detect counterfeit system components (including hardware, software, and firmware). Typical: staff who receive, inspect, install or repair hardware, procurement staff who buy system components, and the supply chain risk management team]</w:t>
      </w:r>
      <w:r>
        <w:t xml:space="preserve"> </w:t>
      </w:r>
      <w:r>
        <w:t xml:space="preserve">to detect counterfeit system components, including hardware, software and firmware. (SR-11(1))</w:t>
      </w:r>
    </w:p>
    <w:p>
      <w:pPr>
        <w:pStyle w:val="Compact"/>
        <w:numPr>
          <w:ilvl w:val="0"/>
          <w:numId w:val="1018"/>
        </w:numPr>
      </w:pPr>
      <w:r>
        <w:t xml:space="preserve">The training shall be part of role-based training (AT-3), completed before the person takes on the duties and annually thereafter. (SR-11(1))</w:t>
      </w:r>
    </w:p>
    <w:p>
      <w:pPr>
        <w:pStyle w:val="Compact"/>
        <w:numPr>
          <w:ilvl w:val="0"/>
          <w:numId w:val="1018"/>
        </w:numPr>
      </w:pPr>
      <w:r>
        <w:t xml:space="preserve">The training shall cover the organization’s anti-counterfeit procedures, how to recognize counterfeit or altered hardware, packaging and software, and how to quarantine and report a suspect component. (SR-11(1))</w:t>
      </w:r>
    </w:p>
    <w:bookmarkEnd w:id="42"/>
    <w:bookmarkStart w:id="43" w:name="Xfd25bfe0082260f08b1c5227c111d60fc673069"/>
    <w:p>
      <w:pPr>
        <w:pStyle w:val="Heading3"/>
      </w:pPr>
      <w:r>
        <w:t xml:space="preserve">Configuration control for component service and repair (SR-11(2))</w:t>
      </w:r>
    </w:p>
    <w:p>
      <w:pPr>
        <w:pStyle w:val="Compact"/>
        <w:numPr>
          <w:ilvl w:val="0"/>
          <w:numId w:val="1019"/>
        </w:numPr>
      </w:pPr>
      <w:r>
        <w:t xml:space="preserve">The</w:t>
      </w:r>
      <w:r>
        <w:t xml:space="preserve"> </w:t>
      </w:r>
      <w:r>
        <w:rPr>
          <w:rStyle w:val="Fill-in"/>
        </w:rPr>
        <w:t xml:space="preserve">[System owner]</w:t>
      </w:r>
      <w:r>
        <w:t xml:space="preserve"> </w:t>
      </w:r>
      <w:r>
        <w:t xml:space="preserve">shall maintain configuration control over</w:t>
      </w:r>
      <w:r>
        <w:t xml:space="preserve"> </w:t>
      </w:r>
      <w:r>
        <w:rPr>
          <w:rStyle w:val="Fill-in"/>
        </w:rPr>
        <w:t xml:space="preserve">[Fill in: system components requiring configuration control. Typical: all system components, including servers, network and security devices, storage devices and end-user devices]</w:t>
      </w:r>
      <w:r>
        <w:t xml:space="preserve"> </w:t>
      </w:r>
      <w:r>
        <w:t xml:space="preserve">awaiting service or repair, and over serviced or repaired components awaiting return to service. (SR-11(2))</w:t>
      </w:r>
    </w:p>
    <w:p>
      <w:pPr>
        <w:pStyle w:val="Compact"/>
        <w:numPr>
          <w:ilvl w:val="0"/>
          <w:numId w:val="1019"/>
        </w:numPr>
      </w:pPr>
      <w:r>
        <w:t xml:space="preserve">A component awaiting service or repair, or awaiting return to service, shall be recorded in the component inventory with the status</w:t>
      </w:r>
      <w:r>
        <w:t xml:space="preserve"> </w:t>
      </w:r>
      <w:r>
        <w:t xml:space="preserve">“under maintenance”</w:t>
      </w:r>
      <w:r>
        <w:t xml:space="preserve">, and kept in a controlled area or in the custody of an authorized person. (SR-11(2))</w:t>
      </w:r>
    </w:p>
    <w:p>
      <w:pPr>
        <w:pStyle w:val="Compact"/>
        <w:numPr>
          <w:ilvl w:val="0"/>
          <w:numId w:val="1019"/>
        </w:numPr>
      </w:pPr>
      <w:r>
        <w:t xml:space="preserve">A component sent off site shall be tracked by serial number from departure to return, with the maintenance log recording who had custody of it. (SR-11(2))</w:t>
      </w:r>
    </w:p>
    <w:p>
      <w:pPr>
        <w:pStyle w:val="Compact"/>
        <w:numPr>
          <w:ilvl w:val="0"/>
          <w:numId w:val="1019"/>
        </w:numPr>
      </w:pPr>
      <w:r>
        <w:t xml:space="preserve">Before a serviced or repaired component returns to service, it shall be checked against its inventory record, inspected for tampering (SR-10), and have its firmware and software verified and its secure baseline configuration restored (CM-2, CM-6). (SR-11(2))</w:t>
      </w:r>
    </w:p>
    <w:p>
      <w:pPr>
        <w:pStyle w:val="Compact"/>
        <w:numPr>
          <w:ilvl w:val="0"/>
          <w:numId w:val="1019"/>
        </w:numPr>
      </w:pPr>
      <w:r>
        <w:t xml:space="preserve">Contracts for component service and repair shall require genuine replacement parts from the original manufacturer or its authorized channel. (SR-11(2))</w:t>
      </w:r>
    </w:p>
    <w:bookmarkEnd w:id="43"/>
    <w:bookmarkStart w:id="44" w:name="component-disposal-sr-12"/>
    <w:p>
      <w:pPr>
        <w:pStyle w:val="Heading3"/>
      </w:pPr>
      <w:r>
        <w:t xml:space="preserve">Component disposal (SR-12)</w:t>
      </w:r>
    </w:p>
    <w:p>
      <w:pPr>
        <w:pStyle w:val="Compact"/>
        <w:numPr>
          <w:ilvl w:val="0"/>
          <w:numId w:val="1020"/>
        </w:numPr>
      </w:pPr>
      <w:r>
        <w:t xml:space="preserve">The</w:t>
      </w:r>
      <w:r>
        <w:t xml:space="preserve"> </w:t>
      </w:r>
      <w:r>
        <w:rPr>
          <w:rStyle w:val="Fill-in"/>
        </w:rPr>
        <w:t xml:space="preserve">[System owner]</w:t>
      </w:r>
      <w:r>
        <w:t xml:space="preserve"> </w:t>
      </w:r>
      <w:r>
        <w:t xml:space="preserve">shall dispose of</w:t>
      </w:r>
      <w:r>
        <w:t xml:space="preserve"> </w:t>
      </w:r>
      <w:r>
        <w:rPr>
          <w:rStyle w:val="Fill-in"/>
        </w:rPr>
        <w:t xml:space="preserve">[Fill in: data, documentation, tools, or system components to be disposed of. Typical: system components, media and devices that hold or have held organizational information, configurations or credentials; system, design and supply chain documentation, including shipping and delivery records; and development, test and maintenance tools]</w:t>
      </w:r>
      <w:r>
        <w:t xml:space="preserve"> </w:t>
      </w:r>
      <w:r>
        <w:t xml:space="preserve">using the following techniques and methods:</w:t>
      </w:r>
      <w:r>
        <w:t xml:space="preserve"> </w:t>
      </w:r>
      <w:r>
        <w:rPr>
          <w:rStyle w:val="Fill-in"/>
        </w:rPr>
        <w:t xml:space="preserve">[Fill in: techniques and methods for disposing of data, documentation, tools, or system components. Typical: sanitization of storage by the method the media sanitization procedure sets for it (MP-6), removal of cryptographic keys, credentials and licenses, destruction of paper documentation by shredding or incineration, and transfer of hardware only to a disposal or recycling provider under contract that certifies destruction or recycling by serial number]</w:t>
      </w:r>
      <w:r>
        <w:t xml:space="preserve">. (SR-12)</w:t>
      </w:r>
    </w:p>
    <w:p>
      <w:pPr>
        <w:pStyle w:val="Compact"/>
        <w:numPr>
          <w:ilvl w:val="0"/>
          <w:numId w:val="1020"/>
        </w:numPr>
      </w:pPr>
      <w:r>
        <w:t xml:space="preserve">These techniques and methods shall apply whenever disposal happens in the life cycle, including during development, testing and maintenance. (SR-12)</w:t>
      </w:r>
    </w:p>
    <w:p>
      <w:pPr>
        <w:pStyle w:val="Compact"/>
        <w:numPr>
          <w:ilvl w:val="0"/>
          <w:numId w:val="1020"/>
        </w:numPr>
      </w:pPr>
      <w:r>
        <w:t xml:space="preserve">Each disposal of a component shall be recorded with the component’s identifiers, the method, who performed and verified it, the date, and the media sanitization record or the provider’s certificate. (SR-12)</w:t>
      </w:r>
    </w:p>
    <w:p>
      <w:pPr>
        <w:pStyle w:val="Compact"/>
        <w:numPr>
          <w:ilvl w:val="0"/>
          <w:numId w:val="1020"/>
        </w:numPr>
      </w:pPr>
      <w:r>
        <w:t xml:space="preserve">A component shall not be resold, donated or returned to a lessor or vendor unless its storage has been purged or destroyed as the Media Protection Policy requires and the</w:t>
      </w:r>
      <w:r>
        <w:t xml:space="preserve"> </w:t>
      </w:r>
      <w:r>
        <w:rPr>
          <w:rStyle w:val="Fill-in"/>
        </w:rPr>
        <w:t xml:space="preserve">[System owner]</w:t>
      </w:r>
      <w:r>
        <w:t xml:space="preserve"> </w:t>
      </w:r>
      <w:r>
        <w:t xml:space="preserve">has approved its release. (SR-12)</w:t>
      </w:r>
    </w:p>
    <w:bookmarkEnd w:id="44"/>
    <w:bookmarkEnd w:id="45"/>
    <w:bookmarkStart w:id="48" w:name="review-and-update"/>
    <w:p>
      <w:pPr>
        <w:pStyle w:val="Heading2"/>
      </w:pPr>
      <w:r>
        <w:t xml:space="preserve">Review and update</w:t>
      </w:r>
    </w:p>
    <w:p>
      <w:pPr>
        <w:pStyle w:val="Compact"/>
        <w:numPr>
          <w:ilvl w:val="0"/>
          <w:numId w:val="1021"/>
        </w:numPr>
      </w:pPr>
      <w:r>
        <w:t xml:space="preserve">The</w:t>
      </w:r>
      <w:r>
        <w:t xml:space="preserve"> </w:t>
      </w:r>
      <w:r>
        <w:rPr>
          <w:rStyle w:val="Fill-in"/>
        </w:rPr>
        <w:t xml:space="preserve">[Fill in: an official to manage the development, documentation, and dissemination of the supply chain risk management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supply chain risk management policy is reviewed and updated. Typical: annually]</w:t>
      </w:r>
      <w:r>
        <w:t xml:space="preserve"> </w:t>
      </w:r>
      <w:r>
        <w:t xml:space="preserve">and following</w:t>
      </w:r>
      <w:r>
        <w:t xml:space="preserve"> </w:t>
      </w:r>
      <w:r>
        <w:rPr>
          <w:rStyle w:val="Fill-in"/>
        </w:rPr>
        <w:t xml:space="preserve">[Fill in: events that require the current supply chain risk management policy to be reviewed and updated. Typical: assessment or audit findings, security incidents or breaches, and changes in applicable laws, executive orders, directives, regulations, policies, standards or guidelines]</w:t>
      </w:r>
      <w:r>
        <w:t xml:space="preserve">. (SR-1c.1)</w:t>
      </w:r>
    </w:p>
    <w:p>
      <w:pPr>
        <w:pStyle w:val="Compact"/>
        <w:numPr>
          <w:ilvl w:val="0"/>
          <w:numId w:val="1021"/>
        </w:numPr>
      </w:pPr>
      <w:r>
        <w:t xml:space="preserve">The</w:t>
      </w:r>
      <w:r>
        <w:t xml:space="preserve"> </w:t>
      </w:r>
      <w:r>
        <w:rPr>
          <w:rStyle w:val="Fill-in"/>
        </w:rPr>
        <w:t xml:space="preserve">[Fill in: an official to manage the development, documentation, and dissemination of the supply chain risk management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supply chain risk management procedure is reviewed and updated. Typical: annually]</w:t>
      </w:r>
      <w:r>
        <w:t xml:space="preserve"> </w:t>
      </w:r>
      <w:r>
        <w:t xml:space="preserve">and following</w:t>
      </w:r>
      <w:r>
        <w:t xml:space="preserve"> </w:t>
      </w:r>
      <w:r>
        <w:rPr>
          <w:rStyle w:val="Fill-in"/>
        </w:rPr>
        <w:t xml:space="preserve">[Fill in: events that require the supply chain risk management procedures to be reviewed and updated. Typical: the same events as the policy, and changes to the systems, tools or services the procedures describe]</w:t>
      </w:r>
      <w:r>
        <w:t xml:space="preserve">. (SR-1c.2)</w:t>
      </w:r>
    </w:p>
    <w:bookmarkStart w:id="47" w:name="federal-systems-4"/>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46">
        <w:r>
          <w:rPr>
            <w:rStyle w:val="Hyperlink"/>
          </w:rPr>
          <w:t xml:space="preserve">44 U.S.C. § 3554</w:t>
        </w:r>
      </w:hyperlink>
      <w:r>
        <w:t xml:space="preserve">, Federal agency responsibilities) and</w:t>
      </w:r>
      <w:r>
        <w:t xml:space="preserve"> </w:t>
      </w:r>
      <w:hyperlink r:id="rId19">
        <w:r>
          <w:rPr>
            <w:rStyle w:val="Hyperlink"/>
          </w:rPr>
          <w:t xml:space="preserve">OMB Circular A-130</w:t>
        </w:r>
      </w:hyperlink>
      <w:r>
        <w:t xml:space="preserve">, Appendix I, Responsibilities for Protecting and Managing Federal Information Resources.</w:t>
      </w:r>
    </w:p>
    <w:p>
      <w:pPr>
        <w:pStyle w:val="Compact"/>
        <w:numPr>
          <w:ilvl w:val="0"/>
          <w:numId w:val="1022"/>
        </w:numPr>
      </w:pPr>
      <w:r>
        <w:t xml:space="preserve">Where the agency’s organization-wide policy sets a value for a parameter in this policy, each system shall use that value or a stricter one. (SR-1a.1(b))</w:t>
      </w:r>
    </w:p>
    <w:bookmarkEnd w:id="47"/>
    <w:bookmarkEnd w:id="48"/>
    <w:bookmarkEnd w:id="49"/>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Supply Chain Risk Management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32" Target="https://csrc.nist.gov/pubs/sp/800/161/r1/upd1/final" TargetMode="External" /><Relationship Type="http://schemas.openxmlformats.org/officeDocument/2006/relationships/hyperlink" Id="rId36" Target="https://kston83.github.io/nist-guide/templates/plans/incident-response-plan/" TargetMode="External" /><Relationship Type="http://schemas.openxmlformats.org/officeDocument/2006/relationships/hyperlink" Id="rId9" Target="https://kston83.github.io/nist-guide/templates/policies/sr/" TargetMode="External" /><Relationship Type="http://schemas.openxmlformats.org/officeDocument/2006/relationships/hyperlink" Id="rId46" Target="https://uscode.house.gov/view.xhtml?req=granuleid:USC-prelim-title44-section3554&amp;num=0&amp;edition=prelim" TargetMode="External" /><Relationship Type="http://schemas.openxmlformats.org/officeDocument/2006/relationships/hyperlink" Id="rId33" Target="https://www.ecfr.gov/current/title-41/section-201-1.201" TargetMode="External" /><Relationship Type="http://schemas.openxmlformats.org/officeDocument/2006/relationships/hyperlink" Id="rId28" Target="https://www.ecfr.gov/current/title-41/section-201-1.304" TargetMode="External" /><Relationship Type="http://schemas.openxmlformats.org/officeDocument/2006/relationships/hyperlink" Id="rId27" Target="https://www.govinfo.gov/link/uscode/41/1323?link-type=html" TargetMode="External" /><Relationship Type="http://schemas.openxmlformats.org/officeDocument/2006/relationships/hyperlink" Id="rId20" Target="https://www.govinfo.gov/link/uscode/41/1326?link-type=html" TargetMode="External" /><Relationship Type="http://schemas.openxmlformats.org/officeDocument/2006/relationships/hyperlink" Id="rId21" Target="https://www.govinfo.gov/link/uscode/41/1328?link-type=html" TargetMode="External" /><Relationship Type="http://schemas.openxmlformats.org/officeDocument/2006/relationships/hyperlink" Id="rId29" Target="https://www.whitehouse.gov/wp-content/uploads/2026/01/M-26-05-Adopting-a-Risk-based-Approach-to-Software-and-Hardware-Security.pdf" TargetMode="External" /><Relationship Type="http://schemas.openxmlformats.org/officeDocument/2006/relationships/hyperlink" Id="rId19"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32" Target="https://csrc.nist.gov/pubs/sp/800/161/r1/upd1/final" TargetMode="External" /><Relationship Type="http://schemas.openxmlformats.org/officeDocument/2006/relationships/hyperlink" Id="rId36" Target="https://kston83.github.io/nist-guide/templates/plans/incident-response-plan/" TargetMode="External" /><Relationship Type="http://schemas.openxmlformats.org/officeDocument/2006/relationships/hyperlink" Id="rId9" Target="https://kston83.github.io/nist-guide/templates/policies/sr/" TargetMode="External" /><Relationship Type="http://schemas.openxmlformats.org/officeDocument/2006/relationships/hyperlink" Id="rId46" Target="https://uscode.house.gov/view.xhtml?req=granuleid:USC-prelim-title44-section3554&amp;num=0&amp;edition=prelim" TargetMode="External" /><Relationship Type="http://schemas.openxmlformats.org/officeDocument/2006/relationships/hyperlink" Id="rId33" Target="https://www.ecfr.gov/current/title-41/section-201-1.201" TargetMode="External" /><Relationship Type="http://schemas.openxmlformats.org/officeDocument/2006/relationships/hyperlink" Id="rId28" Target="https://www.ecfr.gov/current/title-41/section-201-1.304" TargetMode="External" /><Relationship Type="http://schemas.openxmlformats.org/officeDocument/2006/relationships/hyperlink" Id="rId27" Target="https://www.govinfo.gov/link/uscode/41/1323?link-type=html" TargetMode="External" /><Relationship Type="http://schemas.openxmlformats.org/officeDocument/2006/relationships/hyperlink" Id="rId20" Target="https://www.govinfo.gov/link/uscode/41/1326?link-type=html" TargetMode="External" /><Relationship Type="http://schemas.openxmlformats.org/officeDocument/2006/relationships/hyperlink" Id="rId21" Target="https://www.govinfo.gov/link/uscode/41/1328?link-type=html" TargetMode="External" /><Relationship Type="http://schemas.openxmlformats.org/officeDocument/2006/relationships/hyperlink" Id="rId29" Target="https://www.whitehouse.gov/wp-content/uploads/2026/01/M-26-05-Adopting-a-Risk-based-Approach-to-Software-and-Hardware-Security.pdf" TargetMode="External" /><Relationship Type="http://schemas.openxmlformats.org/officeDocument/2006/relationships/hyperlink" Id="rId19"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