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supply-chain-risk-management-policy"/>
    <w:p>
      <w:pPr>
        <w:pStyle w:val="Heading1"/>
      </w:pPr>
      <w:r>
        <w:t xml:space="preserve">Supply Chain Risk Management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https://kston83.github.io/nist-guide/templates/policies/sr/</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Supply Chain Risk Management, and who is accountable for meeting those requirements. (SR-1a.1(a))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(SR-1a.1(a))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(SR-1a.1(a))</w:t>
      </w:r>
    </w:p>
    <w:p>
      <w:pPr>
        <w:pStyle w:val="Compact"/>
        <w:numPr>
          <w:ilvl w:val="0"/>
          <w:numId w:val="1001"/>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manage the development, documentation and dissemination of this policy and its procedures. (SR-1b)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(SR-1a.1(a))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(SR-1a.1(a))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(SR-1a.1(a))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(SR-1a.1(a))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(SR-1a.1(b))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(SR-1a.1(a))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(SR-1a.1(a))</w:t>
      </w:r>
    </w:p>
    <w:p>
      <w:pPr>
        <w:pStyle w:val="Compact"/>
        <w:numPr>
          <w:ilvl w:val="0"/>
          <w:numId w:val="1002"/>
        </w:numPr>
      </w:pPr>
      <w:r>
        <w:t xml:space="preserve">Violations of this policy shall be handled through the organization’s sanctions process. (SR-1a.1(a))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ensure that documented procedures exist to implement this policy and its associated controls. (SR-1a.2)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this policy to</w:t>
      </w:r>
      <w:r>
        <w:t xml:space="preserve"> </w:t>
      </w:r>
      <w:r>
        <w:rPr>
          <w:rStyle w:val="Fill-in"/>
        </w:rPr>
        <w:t xml:space="preserve">[Fill in: personnel or roles to whom supply chain risk management policy is to be disseminated to. Typical: everyone within its scope, through the policy library]</w:t>
      </w:r>
      <w:r>
        <w:t xml:space="preserve">. (SR-1a)</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supply chain risk management procedures are disseminated to. Typical: the people who carry them out, and the system owners]</w:t>
      </w:r>
      <w:r>
        <w:t xml:space="preserve">. (SR-1a)</w:t>
      </w:r>
    </w:p>
    <w:bookmarkEnd w:id="18"/>
    <w:bookmarkStart w:id="43" w:name="policy-statements"/>
    <w:p>
      <w:pPr>
        <w:pStyle w:val="Heading2"/>
      </w:pPr>
      <w:r>
        <w:t xml:space="preserve">Policy statements</w:t>
      </w:r>
    </w:p>
    <w:bookmarkStart w:id="23" w:name="supply-chain-risk-management-plan-sr-2"/>
    <w:p>
      <w:pPr>
        <w:pStyle w:val="Heading3"/>
      </w:pPr>
      <w:r>
        <w:t xml:space="preserve">Supply chain risk management plan (SR-2)</w:t>
      </w:r>
    </w:p>
    <w:p>
      <w:pPr>
        <w:pStyle w:val="Compact"/>
        <w:numPr>
          <w:ilvl w:val="0"/>
          <w:numId w:val="1004"/>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004"/>
        </w:numPr>
      </w:pPr>
      <w:r>
        <w:t xml:space="preserve">The plan shall be a stand-alone document or a clearly identifiable section of the system security plan. (SR-2a)</w:t>
      </w:r>
    </w:p>
    <w:p>
      <w:pPr>
        <w:pStyle w:val="Compact"/>
        <w:numPr>
          <w:ilvl w:val="0"/>
          <w:numId w:val="1004"/>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004"/>
        </w:numPr>
      </w:pPr>
      <w:r>
        <w:t xml:space="preserve">The plan shall list the system’s critical components and services and their suppliers, drawing on the criticality analysis (RA-9) and the component inventory (CM-8). (SR-2a)</w:t>
      </w:r>
    </w:p>
    <w:p>
      <w:pPr>
        <w:pStyle w:val="Compact"/>
        <w:numPr>
          <w:ilvl w:val="0"/>
          <w:numId w:val="1004"/>
        </w:numPr>
      </w:pPr>
      <w:r>
        <w:t xml:space="preserve">The authorizing official shall approve the plan and each significant change to it. (SR-2a)</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bookmarkStart w:id="22"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20">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21">
        <w:r>
          <w:rPr>
            <w:rStyle w:val="Hyperlink"/>
          </w:rPr>
          <w:t xml:space="preserve">41 U.S.C. § 1328</w:t>
        </w:r>
      </w:hyperlink>
      <w:r>
        <w:t xml:space="preserve">). Text checked in the United States Code, 2024 edition, as of October 2026.</w:t>
      </w:r>
    </w:p>
    <w:p>
      <w:pPr>
        <w:pStyle w:val="Compact"/>
        <w:numPr>
          <w:ilvl w:val="0"/>
          <w:numId w:val="1005"/>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22"/>
    <w:bookmarkEnd w:id="23"/>
    <w:bookmarkStart w:id="24" w:name="establish-scrm-team-sr-21"/>
    <w:p>
      <w:pPr>
        <w:pStyle w:val="Heading3"/>
      </w:pPr>
      <w:r>
        <w:t xml:space="preserve">Establish SCRM team (SR-2(1))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006"/>
        </w:numPr>
      </w:pPr>
      <w:r>
        <w:t xml:space="preserve">The team shall meet at least quarterly, and whenever an acquisition or a supplier notification needs its review, and shall record its decisions. (SR-2(1))</w:t>
      </w:r>
    </w:p>
    <w:bookmarkEnd w:id="24"/>
    <w:bookmarkStart w:id="26" w:name="supply-chain-controls-and-processes-sr-3"/>
    <w:p>
      <w:pPr>
        <w:pStyle w:val="Heading3"/>
      </w:pPr>
      <w:r>
        <w:t xml:space="preserve">Supply chain controls and processes (SR-3)</w:t>
      </w:r>
    </w:p>
    <w:p>
      <w:pPr>
        <w:pStyle w:val="Compact"/>
        <w:numPr>
          <w:ilvl w:val="0"/>
          <w:numId w:val="1007"/>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007"/>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007"/>
        </w:numPr>
      </w:pPr>
      <w:r>
        <w:t xml:space="preserve">Each weakness or deficiency found shall be recorded in the risk register or the plan of action and milestones, with an owner, a response and a due date. (SR-3a)</w:t>
      </w:r>
    </w:p>
    <w:p>
      <w:pPr>
        <w:pStyle w:val="Compact"/>
        <w:numPr>
          <w:ilvl w:val="0"/>
          <w:numId w:val="1007"/>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007"/>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25"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20">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25"/>
    <w:bookmarkEnd w:id="26"/>
    <w:bookmarkStart w:id="31" w:name="X0e0dc855e1dd10b4eae943530f4a58da9a63d02"/>
    <w:p>
      <w:pPr>
        <w:pStyle w:val="Heading3"/>
      </w:pPr>
      <w:r>
        <w:t xml:space="preserve">Acquisition strategies, tools and methods (SR-5)</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009"/>
        </w:numPr>
      </w:pPr>
      <w:r>
        <w:t xml:space="preserve">The results of the system’s supply chain risk assessment (RA-3(1)) shall inform the strategies, tools and methods chosen for each such acquisition. (SR-5)</w:t>
      </w:r>
    </w:p>
    <w:bookmarkStart w:id="30" w:name="federal-systems-2"/>
    <w:p>
      <w:pPr>
        <w:pStyle w:val="Heading4"/>
      </w:pPr>
      <w:r>
        <w:t xml:space="preserve">Federal systems</w:t>
      </w:r>
    </w:p>
    <w:p>
      <w:pPr>
        <w:pStyle w:val="FirstParagraph"/>
      </w:pPr>
      <w:hyperlink r:id="rId19">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27">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28">
        <w:r>
          <w:rPr>
            <w:rStyle w:val="Hyperlink"/>
          </w:rPr>
          <w:t xml:space="preserve">41 CFR 201-1.304</w:t>
        </w:r>
      </w:hyperlink>
      <w:r>
        <w:t xml:space="preserve"> </w:t>
      </w:r>
      <w:r>
        <w:t xml:space="preserve">repeats the duty and sets out how an agency requests an exception.</w:t>
      </w:r>
      <w:r>
        <w:t xml:space="preserve"> </w:t>
      </w:r>
      <w:hyperlink r:id="rId29">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30"/>
    <w:bookmarkEnd w:id="31"/>
    <w:bookmarkStart w:id="35" w:name="supplier-assessments-and-reviews-sr-6"/>
    <w:p>
      <w:pPr>
        <w:pStyle w:val="Heading3"/>
      </w:pPr>
      <w:r>
        <w:t xml:space="preserve">Supplier assessments and reviews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assess and review the supply chain-related risks associated with suppliers or contractors and the systems, system components or system services they provide</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(SR-6)</w:t>
      </w:r>
    </w:p>
    <w:p>
      <w:pPr>
        <w:pStyle w:val="Compact"/>
        <w:numPr>
          <w:ilvl w:val="0"/>
          <w:numId w:val="1011"/>
        </w:numPr>
      </w:pPr>
      <w:r>
        <w:t xml:space="preserve">Each assessment shall cover the supplier’s security and supply chain risk management processes, its foreign ownership, control or influence, its ability to assess its own second- and third-tier suppliers, its documented processes and controls, and publicly available information about it.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apply the same core risk factors and criteria to every supplier assessment, and record the sources of information each one relied on. (SR-6)</w:t>
      </w:r>
    </w:p>
    <w:p>
      <w:pPr>
        <w:pStyle w:val="Compact"/>
        <w:numPr>
          <w:ilvl w:val="0"/>
          <w:numId w:val="1011"/>
        </w:numPr>
      </w:pPr>
      <w:r>
        <w:t xml:space="preserve">A contract for a critical component or service shall not be awarded or renewed until its supplier assessment is complete and each risk found is accepted or has a planned response.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have the supply chain risk management team monitor publicly available information about the suppliers of critical components and services for indications of stolen information, poor development or quality control practices, information spillage or counterfeits.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share assessment and review results with other organizations only as applicable rules, policies, agreements or contracts allow or require. (SR-6)</w:t>
      </w:r>
    </w:p>
    <w:bookmarkStart w:id="34" w:name="federal-systems-3"/>
    <w:p>
      <w:pPr>
        <w:pStyle w:val="Heading4"/>
      </w:pPr>
      <w:r>
        <w:t xml:space="preserve">Federal systems</w:t>
      </w:r>
    </w:p>
    <w:p>
      <w:pPr>
        <w:pStyle w:val="FirstParagraph"/>
      </w:pPr>
      <w:hyperlink r:id="rId20">
        <w:r>
          <w:rPr>
            <w:rStyle w:val="Hyperlink"/>
          </w:rPr>
          <w:t xml:space="preserve">41 U.S.C. § 1326</w:t>
        </w:r>
      </w:hyperlink>
      <w:r>
        <w:t xml:space="preserve">(a) makes the head of each executive agency responsible for assessing the supply chain risk posed by the acquisition and use of covered articles, and for prioritizing those assessments based on the criticality of the mission, system, component, service or asset.</w:t>
      </w:r>
      <w:r>
        <w:t xml:space="preserve"> </w:t>
      </w:r>
      <w:hyperlink r:id="rId32">
        <w:r>
          <w:rPr>
            <w:rStyle w:val="Hyperlink"/>
          </w:rPr>
          <w:t xml:space="preserve">NIST SP 800-161 Rev. 1</w:t>
        </w:r>
      </w:hyperlink>
      <w:r>
        <w:t xml:space="preserve">, Cybersecurity Supply Chain Risk Management Practices for Systems and Organizations (May 2022, updated November 1, 2024; current as of October 2026), Appendix E, gives federal agencies baseline risk factors (section E.2.2) to address, at a minimum, for assessments of critical sources and covered articles, and says (section E.2.1) that determining assessment priorities, evaluating impact and making risk response decisions are inherently governmental functions that cannot be outsourced, although a qualified, vetted third party may support research and documentation. Under</w:t>
      </w:r>
      <w:r>
        <w:t xml:space="preserve"> </w:t>
      </w:r>
      <w:hyperlink r:id="rId33">
        <w:r>
          <w:rPr>
            <w:rStyle w:val="Hyperlink"/>
          </w:rPr>
          <w:t xml:space="preserve">41 CFR 201-1.201(b)</w:t>
        </w:r>
      </w:hyperlink>
      <w:r>
        <w:t xml:space="preserve">, an executive agency must expeditiously submit supply chain risk information to the Federal Acquisition Security Council’s information sharing agency when the Council requests it, or when the agency determines there is a reasonable basis to conclude that a substantial supply chain risk exists in connection with a source or covered article. Statute checked in the United States Code, 2024 edition, and regulation in the eCFR, as of October 2026.</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prioritize supplier assessments by the criticality of the mission, system, component, service or asset, as 41 U.S.C. § 1326(a)(2) requires. (SR-6)</w:t>
      </w:r>
    </w:p>
    <w:p>
      <w:pPr>
        <w:pStyle w:val="Compact"/>
        <w:numPr>
          <w:ilvl w:val="0"/>
          <w:numId w:val="1012"/>
        </w:numPr>
      </w:pPr>
      <w:r>
        <w:t xml:space="preserve">Assessments of critical sources and covered articles shall address every baseline risk factor in NIST SP 800-161 Rev. 1, Appendix E, section E.2.2. (SR-6)</w:t>
      </w:r>
    </w:p>
    <w:p>
      <w:pPr>
        <w:pStyle w:val="Compact"/>
        <w:numPr>
          <w:ilvl w:val="0"/>
          <w:numId w:val="1012"/>
        </w:numPr>
      </w:pPr>
      <w:r>
        <w:t xml:space="preserve">Agency officials shall set assessment priorities and make each risk response decision; a contractor may support the research and documentation but shall not make those decisions. (SR-6)</w:t>
      </w:r>
    </w:p>
    <w:p>
      <w:pPr>
        <w:pStyle w:val="Compact"/>
        <w:numPr>
          <w:ilvl w:val="0"/>
          <w:numId w:val="1012"/>
        </w:numPr>
      </w:pPr>
      <w:r>
        <w:t xml:space="preserve">When the agency determines there is a reasonable basis to conclude that a substantial supply chain risk exists in connection with a source or covered article, the</w:t>
      </w:r>
      <w:r>
        <w:t xml:space="preserve"> </w:t>
      </w:r>
      <w:r>
        <w:rPr>
          <w:rStyle w:val="Fill-in"/>
        </w:rPr>
        <w:t xml:space="preserve">[Chief Information Security Officer]</w:t>
      </w:r>
      <w:r>
        <w:t xml:space="preserve"> </w:t>
      </w:r>
      <w:r>
        <w:t xml:space="preserve">shall submit the relevant supply chain risk information to the Federal Acquisition Security Council’s information sharing agency, as 41 CFR 201-1.201(b) requires. (SR-6)</w:t>
      </w:r>
    </w:p>
    <w:bookmarkEnd w:id="34"/>
    <w:bookmarkEnd w:id="35"/>
    <w:bookmarkStart w:id="37" w:name="notification-agreements-sr-8"/>
    <w:p>
      <w:pPr>
        <w:pStyle w:val="Heading3"/>
      </w:pPr>
      <w:r>
        <w:t xml:space="preserve">Notification agreements (SR-8)</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013"/>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013"/>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013"/>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36">
        <w:r>
          <w:rPr>
            <w:rStyle w:val="Hyperlink"/>
          </w:rPr>
          <w:t xml:space="preserve">incident response plan</w:t>
        </w:r>
      </w:hyperlink>
      <w:r>
        <w:t xml:space="preserve">, with the supply chain risk management team identifying the affected systems and components. (SR-8)</w:t>
      </w:r>
    </w:p>
    <w:bookmarkEnd w:id="37"/>
    <w:bookmarkStart w:id="38" w:name="X3cb789ce30c60622bd1ccdb673fcca52c739b4f"/>
    <w:p>
      <w:pPr>
        <w:pStyle w:val="Heading3"/>
      </w:pPr>
      <w:r>
        <w:t xml:space="preserve">Inspection of systems or components (SR-10)</w:t>
      </w:r>
    </w:p>
    <w:p>
      <w:pPr>
        <w:pStyle w:val="Compact"/>
        <w:numPr>
          <w:ilvl w:val="0"/>
          <w:numId w:val="1014"/>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014"/>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014"/>
        </w:numPr>
      </w:pPr>
      <w:r>
        <w:t xml:space="preserve">Each inspection shall be recorded with the component, the date, who inspected it and the result. (SR-10)</w:t>
      </w:r>
    </w:p>
    <w:p>
      <w:pPr>
        <w:pStyle w:val="Compact"/>
        <w:numPr>
          <w:ilvl w:val="0"/>
          <w:numId w:val="1014"/>
        </w:numPr>
      </w:pPr>
      <w:r>
        <w:t xml:space="preserve">A component that shows signs of tampering shall be kept out of service and reported under the incident response plan (IR-6). (SR-10)</w:t>
      </w:r>
    </w:p>
    <w:p>
      <w:pPr>
        <w:pStyle w:val="Compact"/>
        <w:numPr>
          <w:ilvl w:val="0"/>
          <w:numId w:val="1014"/>
        </w:numPr>
      </w:pPr>
      <w:r>
        <w:t xml:space="preserve">Contracts with the suppliers, integrators and service providers of critical components shall require them to inspect those components for tampering, and to flow the requirement down to their subcontractors. (SR-10)</w:t>
      </w:r>
    </w:p>
    <w:bookmarkEnd w:id="38"/>
    <w:bookmarkStart w:id="39" w:name="component-authenticity-sr-11"/>
    <w:p>
      <w:pPr>
        <w:pStyle w:val="Heading3"/>
      </w:pPr>
      <w:r>
        <w:t xml:space="preserve">Component authenticity (SR-11)</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015"/>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015"/>
        </w:numPr>
      </w:pPr>
      <w:r>
        <w:t xml:space="preserve">Each component shall be checked on receipt against the order and the manufacturer’s identifiers, such as part and serial numbers, labels and packaging. (SR-11a)</w:t>
      </w:r>
    </w:p>
    <w:p>
      <w:pPr>
        <w:pStyle w:val="Compact"/>
        <w:numPr>
          <w:ilvl w:val="0"/>
          <w:numId w:val="1015"/>
        </w:numPr>
      </w:pPr>
      <w:r>
        <w:t xml:space="preserve">Software, firmware and updates shall be verified by digital signature or the manufacturer’s published hash before installation. (SR-11a)</w:t>
      </w:r>
    </w:p>
    <w:p>
      <w:pPr>
        <w:pStyle w:val="Compact"/>
        <w:numPr>
          <w:ilvl w:val="0"/>
          <w:numId w:val="1015"/>
        </w:numPr>
      </w:pPr>
      <w:r>
        <w:t xml:space="preserve">A suspected counterfeit component shall be quarantined and kept out of the system until the investigation is complete, and shall not be returned to the seller before then. (SR-11a)</w:t>
      </w:r>
    </w:p>
    <w:p>
      <w:pPr>
        <w:pStyle w:val="Compact"/>
        <w:numPr>
          <w:ilvl w:val="0"/>
          <w:numId w:val="1015"/>
        </w:numPr>
      </w:pPr>
      <w:r>
        <w:t xml:space="preserve">A counterfeit component found installed in a system shall be handled as an incident under the incident response plan. (SR-11a)</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39"/>
    <w:bookmarkStart w:id="40" w:name="anti-counterfeit-training-sr-111"/>
    <w:p>
      <w:pPr>
        <w:pStyle w:val="Heading3"/>
      </w:pPr>
      <w:r>
        <w:t xml:space="preserve">Anti-counterfeit training (SR-11(1))</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016"/>
        </w:numPr>
      </w:pPr>
      <w:r>
        <w:t xml:space="preserve">The training shall be part of role-based training (AT-3), completed before the person takes on the duties and annually thereafter. (SR-11(1))</w:t>
      </w:r>
    </w:p>
    <w:p>
      <w:pPr>
        <w:pStyle w:val="Compact"/>
        <w:numPr>
          <w:ilvl w:val="0"/>
          <w:numId w:val="1016"/>
        </w:numPr>
      </w:pPr>
      <w:r>
        <w:t xml:space="preserve">The training shall cover the organization’s anti-counterfeit procedures, how to recognize counterfeit or altered hardware, packaging and software, and how to quarantine and report a suspect component. (SR-11(1))</w:t>
      </w:r>
    </w:p>
    <w:bookmarkEnd w:id="40"/>
    <w:bookmarkStart w:id="41" w:name="Xfd25bfe0082260f08b1c5227c111d60fc673069"/>
    <w:p>
      <w:pPr>
        <w:pStyle w:val="Heading3"/>
      </w:pPr>
      <w:r>
        <w:t xml:space="preserve">Configuration control for component service and repair (SR-11(2))</w:t>
      </w:r>
    </w:p>
    <w:p>
      <w:pPr>
        <w:pStyle w:val="Compact"/>
        <w:numPr>
          <w:ilvl w:val="0"/>
          <w:numId w:val="1017"/>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017"/>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017"/>
        </w:numPr>
      </w:pPr>
      <w:r>
        <w:t xml:space="preserve">A component sent off site shall be tracked by serial number from departure to return, with the maintenance log recording who had custody of it. (SR-11(2))</w:t>
      </w:r>
    </w:p>
    <w:p>
      <w:pPr>
        <w:pStyle w:val="Compact"/>
        <w:numPr>
          <w:ilvl w:val="0"/>
          <w:numId w:val="1017"/>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017"/>
        </w:numPr>
      </w:pPr>
      <w:r>
        <w:t xml:space="preserve">Contracts for component service and repair shall require genuine replacement parts from the original manufacturer or its authorized channel. (SR-11(2))</w:t>
      </w:r>
    </w:p>
    <w:bookmarkEnd w:id="41"/>
    <w:bookmarkStart w:id="42" w:name="component-disposal-sr-12"/>
    <w:p>
      <w:pPr>
        <w:pStyle w:val="Heading3"/>
      </w:pPr>
      <w:r>
        <w:t xml:space="preserve">Component disposal (SR-12)</w:t>
      </w:r>
    </w:p>
    <w:p>
      <w:pPr>
        <w:pStyle w:val="Compact"/>
        <w:numPr>
          <w:ilvl w:val="0"/>
          <w:numId w:val="1018"/>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018"/>
        </w:numPr>
      </w:pPr>
      <w:r>
        <w:t xml:space="preserve">These techniques and methods shall apply whenever disposal happens in the life cycle, including during development, testing and maintenance. (SR-12)</w:t>
      </w:r>
    </w:p>
    <w:p>
      <w:pPr>
        <w:pStyle w:val="Compact"/>
        <w:numPr>
          <w:ilvl w:val="0"/>
          <w:numId w:val="1018"/>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018"/>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42"/>
    <w:bookmarkEnd w:id="43"/>
    <w:bookmarkStart w:id="46" w:name="review-and-update"/>
    <w:p>
      <w:pPr>
        <w:pStyle w:val="Heading2"/>
      </w:pPr>
      <w:r>
        <w:t xml:space="preserve">Review and update</w:t>
      </w:r>
    </w:p>
    <w:p>
      <w:pPr>
        <w:pStyle w:val="Compact"/>
        <w:numPr>
          <w:ilvl w:val="0"/>
          <w:numId w:val="1019"/>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supply chain risk management policy is reviewed and updated. Typical: annually]</w:t>
      </w:r>
      <w:r>
        <w:t xml:space="preserve"> </w:t>
      </w:r>
      <w:r>
        <w:t xml:space="preserve">and following</w:t>
      </w:r>
      <w:r>
        <w:t xml:space="preserve"> </w:t>
      </w:r>
      <w:r>
        <w:rPr>
          <w:rStyle w:val="Fill-in"/>
        </w:rPr>
        <w:t xml:space="preserve">[Fill in: events that require the current supply chain risk management policy to be reviewed and updated. Typical: assessment or audit findings, security incidents or breaches, and changes in applicable laws, executive orders, directives, regulations, policies, standards or guidelines]</w:t>
      </w:r>
      <w:r>
        <w:t xml:space="preserve">. (SR-1c.1)</w:t>
      </w:r>
    </w:p>
    <w:p>
      <w:pPr>
        <w:pStyle w:val="Compact"/>
        <w:numPr>
          <w:ilvl w:val="0"/>
          <w:numId w:val="1019"/>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supply chain risk management procedure is reviewed and updated. Typical: annually]</w:t>
      </w:r>
      <w:r>
        <w:t xml:space="preserve"> </w:t>
      </w:r>
      <w:r>
        <w:t xml:space="preserve">and following</w:t>
      </w:r>
      <w:r>
        <w:t xml:space="preserve"> </w:t>
      </w:r>
      <w:r>
        <w:rPr>
          <w:rStyle w:val="Fill-in"/>
        </w:rPr>
        <w:t xml:space="preserve">[Fill in: events that require the supply chain risk management procedures to be reviewed and updated. Typical: the same events as the policy, and changes to the systems, tools or services the procedures describe]</w:t>
      </w:r>
      <w:r>
        <w:t xml:space="preserve">. (SR-1c.2)</w:t>
      </w:r>
    </w:p>
    <w:bookmarkStart w:id="45"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4">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20"/>
        </w:numPr>
      </w:pPr>
      <w:r>
        <w:t xml:space="preserve">Where the agency’s organization-wide policy sets a value for a parameter in this policy, each system shall use that value or a stricter one. (SR-1a.1(b))</w:t>
      </w:r>
    </w:p>
    <w:bookmarkEnd w:id="45"/>
    <w:bookmarkEnd w:id="46"/>
    <w:bookmarkEnd w:id="4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Supply Chain Risk Management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2" Target="https://csrc.nist.gov/pubs/sp/800/161/r1/upd1/final" TargetMode="External" /><Relationship Type="http://schemas.openxmlformats.org/officeDocument/2006/relationships/hyperlink" Id="rId36" Target="https://kston83.github.io/nist-guide/templates/plans/incident-response-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44" Target="https://uscode.house.gov/view.xhtml?req=granuleid:USC-prelim-title44-section3554&amp;num=0&amp;edition=prelim" TargetMode="External" /><Relationship Type="http://schemas.openxmlformats.org/officeDocument/2006/relationships/hyperlink" Id="rId33" Target="https://www.ecfr.gov/current/title-41/section-201-1.201" TargetMode="External" /><Relationship Type="http://schemas.openxmlformats.org/officeDocument/2006/relationships/hyperlink" Id="rId28" Target="https://www.ecfr.gov/current/title-41/section-201-1.304" TargetMode="External" /><Relationship Type="http://schemas.openxmlformats.org/officeDocument/2006/relationships/hyperlink" Id="rId27" Target="https://www.govinfo.gov/link/uscode/41/1323?link-type=html" TargetMode="External" /><Relationship Type="http://schemas.openxmlformats.org/officeDocument/2006/relationships/hyperlink" Id="rId20" Target="https://www.govinfo.gov/link/uscode/41/1326?link-type=html" TargetMode="External" /><Relationship Type="http://schemas.openxmlformats.org/officeDocument/2006/relationships/hyperlink" Id="rId21" Target="https://www.govinfo.gov/link/uscode/41/1328?link-type=html" TargetMode="External" /><Relationship Type="http://schemas.openxmlformats.org/officeDocument/2006/relationships/hyperlink" Id="rId29"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2" Target="https://csrc.nist.gov/pubs/sp/800/161/r1/upd1/final" TargetMode="External" /><Relationship Type="http://schemas.openxmlformats.org/officeDocument/2006/relationships/hyperlink" Id="rId36" Target="https://kston83.github.io/nist-guide/templates/plans/incident-response-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44" Target="https://uscode.house.gov/view.xhtml?req=granuleid:USC-prelim-title44-section3554&amp;num=0&amp;edition=prelim" TargetMode="External" /><Relationship Type="http://schemas.openxmlformats.org/officeDocument/2006/relationships/hyperlink" Id="rId33" Target="https://www.ecfr.gov/current/title-41/section-201-1.201" TargetMode="External" /><Relationship Type="http://schemas.openxmlformats.org/officeDocument/2006/relationships/hyperlink" Id="rId28" Target="https://www.ecfr.gov/current/title-41/section-201-1.304" TargetMode="External" /><Relationship Type="http://schemas.openxmlformats.org/officeDocument/2006/relationships/hyperlink" Id="rId27" Target="https://www.govinfo.gov/link/uscode/41/1323?link-type=html" TargetMode="External" /><Relationship Type="http://schemas.openxmlformats.org/officeDocument/2006/relationships/hyperlink" Id="rId20" Target="https://www.govinfo.gov/link/uscode/41/1326?link-type=html" TargetMode="External" /><Relationship Type="http://schemas.openxmlformats.org/officeDocument/2006/relationships/hyperlink" Id="rId21" Target="https://www.govinfo.gov/link/uscode/41/1328?link-type=html" TargetMode="External" /><Relationship Type="http://schemas.openxmlformats.org/officeDocument/2006/relationships/hyperlink" Id="rId29"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