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business-impact-analysis"/>
    <w:p>
      <w:pPr>
        <w:pStyle w:val="Heading1"/>
      </w:pPr>
      <w:r>
        <w:t xml:space="preserve">Business Impact Analysis</w:t>
      </w:r>
    </w:p>
    <w:p>
      <w:pPr>
        <w:pStyle w:val="FirstParagraph"/>
      </w:pPr>
      <w:r>
        <w:rPr>
          <w:b/>
          <w:bCs/>
        </w:rPr>
        <w:t xml:space="preserve">Template version:</w:t>
      </w:r>
      <w:r>
        <w:t xml:space="preserve"> </w:t>
      </w:r>
      <w:r>
        <w:t xml:space="preserve">1.0.0 ·</w:t>
      </w:r>
      <w:r>
        <w:t xml:space="preserve"> </w:t>
      </w:r>
      <w:r>
        <w:rPr>
          <w:b/>
          <w:bCs/>
        </w:rPr>
        <w:t xml:space="preserve">Edition:</w:t>
      </w:r>
      <w:r>
        <w:t xml:space="preserve"> </w:t>
      </w:r>
      <w:r>
        <w:t xml:space="preserve">Ready to adopt ·</w:t>
      </w:r>
      <w:r>
        <w:t xml:space="preserve"> </w:t>
      </w:r>
      <w:r>
        <w:rPr>
          <w:b/>
          <w:bCs/>
        </w:rPr>
        <w:t xml:space="preserve">NIST basis:</w:t>
      </w:r>
      <w:r>
        <w:t xml:space="preserve"> </w:t>
      </w:r>
      <w:r>
        <w:t xml:space="preserve">SP 800-53 Rev. 5, release 5.2.0</w:t>
      </w:r>
    </w:p>
    <w:p>
      <w:pPr>
        <w:pStyle w:val="BodyText"/>
      </w:pPr>
      <w:r>
        <w:rPr>
          <w:i/>
          <w:iCs/>
        </w:rPr>
        <w:t xml:space="preserve">Tailor this template before adoption; it is not legal advice.</w:t>
      </w:r>
      <w:r>
        <w:t xml:space="preserve"> </w:t>
      </w:r>
      <w:r>
        <w:t xml:space="preserve">Latest version:</w:t>
      </w:r>
      <w:r>
        <w:t xml:space="preserve"> </w:t>
      </w:r>
      <w:hyperlink r:id="rId9">
        <w:r>
          <w:rPr>
            <w:rStyle w:val="Hyperlink"/>
          </w:rPr>
          <w:t xml:space="preserve">https://kston83.github.io/nist-guide/templates/reports/business-impact-analysis/</w:t>
        </w:r>
      </w:hyperlink>
      <w:r>
        <w:t xml:space="preserve">. Dedicated to the public domain under CC0 1.0 (</w:t>
      </w:r>
      <w:hyperlink r:id="rId10">
        <w:r>
          <w:rPr>
            <w:rStyle w:val="Hyperlink"/>
          </w:rPr>
          <w:t xml:space="preserve">https://creativecommons.org/publicdomain/zero/1.0/</w:t>
        </w:r>
      </w:hyperlink>
      <w:r>
        <w:t xml:space="preserve">): adopt and change it without attribution.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System name</w:t>
            </w:r>
          </w:p>
        </w:tc>
        <w:tc>
          <w:tcPr/>
          <w:p>
            <w:pPr>
              <w:pStyle w:val="Compact"/>
            </w:pPr>
            <w:r>
              <w:t xml:space="preserve">System identifier</w:t>
            </w:r>
          </w:p>
        </w:tc>
        <w:tc>
          <w:tcPr/>
          <w:p>
            <w:pPr>
              <w:pStyle w:val="Compact"/>
            </w:pPr>
            <w:r>
              <w:t xml:space="preserve">Prepared by</w:t>
            </w:r>
          </w:p>
        </w:tc>
        <w:tc>
          <w:tcPr/>
          <w:p>
            <w:pPr>
              <w:pStyle w:val="Compact"/>
            </w:pPr>
            <w: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system name]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unique system identifier]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names and titles]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date]</w:t>
            </w:r>
          </w:p>
        </w:tc>
      </w:tr>
    </w:tbl>
    <w:bookmarkStart w:id="11" w:name="overview"/>
    <w:p>
      <w:pPr>
        <w:pStyle w:val="Heading2"/>
      </w:pPr>
      <w:r>
        <w:t xml:space="preserve">1. Overview</w:t>
      </w:r>
    </w:p>
    <w:p>
      <w:pPr>
        <w:pStyle w:val="FirstParagraph"/>
      </w:pPr>
      <w:r>
        <w:t xml:space="preserve">This analysis identifies the mission and business processes</w:t>
      </w:r>
      <w:r>
        <w:t xml:space="preserve"> </w:t>
      </w:r>
      <w:r>
        <w:rPr>
          <w:rStyle w:val="Fill-in"/>
        </w:rPr>
        <w:t xml:space="preserve">[Fill in: system name]</w:t>
      </w:r>
      <w:r>
        <w:t xml:space="preserve"> </w:t>
      </w:r>
      <w:r>
        <w:t xml:space="preserve">supports, the impact of a disruption to them, and the system’s recovery objectives and priorities (CP-2a.1, CP-2a.2).</w:t>
      </w:r>
    </w:p>
    <w:bookmarkEnd w:id="11"/>
    <w:bookmarkStart w:id="12" w:name="system-description"/>
    <w:p>
      <w:pPr>
        <w:pStyle w:val="Heading2"/>
      </w:pPr>
      <w:r>
        <w:t xml:space="preserve">2. System description</w:t>
      </w:r>
    </w:p>
    <w:p>
      <w:pPr>
        <w:pStyle w:val="FirstParagraph"/>
      </w:pPr>
      <w:r>
        <w:rPr>
          <w:rStyle w:val="Fill-in"/>
        </w:rPr>
        <w:t xml:space="preserve">[Fill in: a short description of the system, its purpose, where it runs and its main components, or a reference to the system security plan]</w:t>
      </w:r>
    </w:p>
    <w:bookmarkEnd w:id="12"/>
    <w:bookmarkStart w:id="16" w:name="determine-process-and-system-criticality"/>
    <w:p>
      <w:pPr>
        <w:pStyle w:val="Heading2"/>
      </w:pPr>
      <w:r>
        <w:t xml:space="preserve">3. Determine process and system criticality</w:t>
      </w:r>
    </w:p>
    <w:bookmarkStart w:id="13" w:name="mission-and-business-processes"/>
    <w:p>
      <w:pPr>
        <w:pStyle w:val="Heading3"/>
      </w:pPr>
      <w:r>
        <w:t xml:space="preserve">3.1 Mission and business processes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Mission or business process</w:t>
            </w:r>
          </w:p>
        </w:tc>
        <w:tc>
          <w:tcPr/>
          <w:p>
            <w:pPr>
              <w:pStyle w:val="Compact"/>
            </w:pPr>
            <w: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Process owner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process]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description]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owner]</w:t>
            </w:r>
          </w:p>
        </w:tc>
      </w:tr>
    </w:tbl>
    <w:bookmarkEnd w:id="13"/>
    <w:bookmarkStart w:id="14" w:name="outage-impacts"/>
    <w:p>
      <w:pPr>
        <w:pStyle w:val="Heading3"/>
      </w:pPr>
      <w:r>
        <w:t xml:space="preserve">3.2 Outage impacts</w:t>
      </w:r>
    </w:p>
    <w:p>
      <w:pPr>
        <w:pStyle w:val="FirstParagraph"/>
      </w:pPr>
      <w:r>
        <w:t xml:space="preserve">Rate the impact of an outage on each process in each category the organization uses, for example with the impact levels of the security categorization.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Process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impact category, for example operations]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impact category, for example finances]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impact category, for example individuals]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impact category, for example legal or regulatory]</w:t>
            </w:r>
          </w:p>
        </w:tc>
        <w:tc>
          <w:tcPr/>
          <w:p>
            <w:pPr>
              <w:pStyle w:val="Compact"/>
            </w:pPr>
            <w:r>
              <w:t xml:space="preserve">Overall impact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process]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impact]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impact]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impact]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impact]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impact]</w:t>
            </w:r>
          </w:p>
        </w:tc>
      </w:tr>
    </w:tbl>
    <w:bookmarkEnd w:id="14"/>
    <w:bookmarkStart w:id="15" w:name="estimated-downtime"/>
    <w:p>
      <w:pPr>
        <w:pStyle w:val="Heading3"/>
      </w:pPr>
      <w:r>
        <w:t xml:space="preserve">3.3 Estimated downtime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Maximum tolerable downtime (MTD):</w:t>
      </w:r>
      <w:r>
        <w:t xml:space="preserve"> </w:t>
      </w:r>
      <w:r>
        <w:t xml:space="preserve">“the total amount of time leaders/managers are willing to accept for a mission/business process outage or disruption and includes all impact considerations”</w:t>
      </w:r>
      <w:r>
        <w:t xml:space="preserve"> </w:t>
      </w:r>
      <w:r>
        <w:t xml:space="preserve">(SP 800-34 Rev. 1).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Recovery time objective (RTO):</w:t>
      </w:r>
      <w:r>
        <w:t xml:space="preserve"> </w:t>
      </w:r>
      <w:r>
        <w:t xml:space="preserve">“the maximum amount of time that a system resource can remain unavailable before there is an unacceptable impact on other system resources, supported mission/business processes, and the MTD.”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Recovery point objective (RPO):</w:t>
      </w:r>
      <w:r>
        <w:t xml:space="preserve"> </w:t>
      </w:r>
      <w:r>
        <w:t xml:space="preserve">“the point in time, prior to a disruption or system outage, to which mission/business process data must be recovered (given the most recent backup copy of the data) after an outage.”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Process</w:t>
            </w:r>
          </w:p>
        </w:tc>
        <w:tc>
          <w:tcPr/>
          <w:p>
            <w:pPr>
              <w:pStyle w:val="Compact"/>
            </w:pPr>
            <w:r>
              <w:t xml:space="preserve">Essential?</w:t>
            </w:r>
          </w:p>
        </w:tc>
        <w:tc>
          <w:tcPr/>
          <w:p>
            <w:pPr>
              <w:pStyle w:val="Compact"/>
            </w:pPr>
            <w:r>
              <w:t xml:space="preserve">MTD</w:t>
            </w:r>
          </w:p>
        </w:tc>
        <w:tc>
          <w:tcPr/>
          <w:p>
            <w:pPr>
              <w:pStyle w:val="Compact"/>
            </w:pPr>
            <w:r>
              <w:t xml:space="preserve">RTO</w:t>
            </w:r>
          </w:p>
        </w:tc>
        <w:tc>
          <w:tcPr/>
          <w:p>
            <w:pPr>
              <w:pStyle w:val="Compact"/>
            </w:pPr>
            <w:r>
              <w:t xml:space="preserve">RPO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process]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yes or no]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time]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time]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time]</w:t>
            </w:r>
          </w:p>
        </w:tc>
      </w:tr>
    </w:tbl>
    <w:p>
      <w:pPr>
        <w:pStyle w:val="BodyText"/>
      </w:pPr>
      <w:r>
        <w:t xml:space="preserve">The RTO must be shorter than the MTD, leaving time to validate the recovered system. Backups must be frequent enough to meet the RPO (CP-9).</w:t>
      </w:r>
    </w:p>
    <w:bookmarkEnd w:id="15"/>
    <w:bookmarkEnd w:id="16"/>
    <w:bookmarkStart w:id="17" w:name="identify-resource-requirements"/>
    <w:p>
      <w:pPr>
        <w:pStyle w:val="Heading2"/>
      </w:pPr>
      <w:r>
        <w:t xml:space="preserve">4. Identify resource requirements</w:t>
      </w:r>
    </w:p>
    <w:p>
      <w:pPr>
        <w:pStyle w:val="FirstParagraph"/>
      </w:pPr>
      <w:r>
        <w:t xml:space="preserve">List the resources the system needs to run its processes: hardware, software, cloud services, data, facilities, connections and people. Mark the critical assets that support</w:t>
      </w:r>
      <w:r>
        <w:t xml:space="preserve"> </w:t>
      </w:r>
      <w:r>
        <w:rPr>
          <w:rStyle w:val="Fill-in"/>
        </w:rPr>
        <w:t xml:space="preserve">[Select one: all; essential. Typical: essential]</w:t>
      </w:r>
      <w:r>
        <w:t xml:space="preserve"> </w:t>
      </w:r>
      <w:r>
        <w:t xml:space="preserve">mission and business functions (CP-2(8)).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System resource or component</w:t>
            </w:r>
          </w:p>
        </w:tc>
        <w:tc>
          <w:tcPr/>
          <w:p>
            <w:pPr>
              <w:pStyle w:val="Compact"/>
            </w:pPr>
            <w:r>
              <w:t xml:space="preserve">Platform, operating system and version</w:t>
            </w:r>
          </w:p>
        </w:tc>
        <w:tc>
          <w:tcPr/>
          <w:p>
            <w:pPr>
              <w:pStyle w:val="Compact"/>
            </w:pPr>
            <w: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Critical asset?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resource or component]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platform]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description]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yes or no]</w:t>
            </w:r>
          </w:p>
        </w:tc>
      </w:tr>
    </w:tbl>
    <w:bookmarkEnd w:id="17"/>
    <w:bookmarkStart w:id="18" w:name="X64f62bccec0f50e9d62dbcd27ba801d3b725bf5"/>
    <w:p>
      <w:pPr>
        <w:pStyle w:val="Heading2"/>
      </w:pPr>
      <w:r>
        <w:t xml:space="preserve">5. Identify recovery priorities for system resources</w:t>
      </w:r>
    </w:p>
    <w:p>
      <w:pPr>
        <w:pStyle w:val="FirstParagraph"/>
      </w:pPr>
      <w:r>
        <w:t xml:space="preserve">Recovery priorities follow from the processes’ outage impacts and RTOs. The plan resumes</w:t>
      </w:r>
      <w:r>
        <w:t xml:space="preserve"> </w:t>
      </w:r>
      <w:r>
        <w:rPr>
          <w:rStyle w:val="Fill-in"/>
        </w:rPr>
        <w:t xml:space="preserve">[Select one: all; essential. Typical: essential]</w:t>
      </w:r>
      <w:r>
        <w:t xml:space="preserve"> </w:t>
      </w:r>
      <w:r>
        <w:t xml:space="preserve">mission and business functions first (CP-2(3)).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Priority</w:t>
            </w:r>
          </w:p>
        </w:tc>
        <w:tc>
          <w:tcPr/>
          <w:p>
            <w:pPr>
              <w:pStyle w:val="Compact"/>
            </w:pPr>
            <w:r>
              <w:t xml:space="preserve">System resource or component</w:t>
            </w:r>
          </w:p>
        </w:tc>
        <w:tc>
          <w:tcPr/>
          <w:p>
            <w:pPr>
              <w:pStyle w:val="Compact"/>
            </w:pPr>
            <w:r>
              <w:t xml:space="preserve">Recovery time objective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resource]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time]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resource]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time]</w:t>
            </w:r>
          </w:p>
        </w:tc>
      </w:tr>
    </w:tbl>
    <w:bookmarkEnd w:id="18"/>
    <w:bookmarkStart w:id="19" w:name="approval"/>
    <w:p>
      <w:pPr>
        <w:pStyle w:val="Heading2"/>
      </w:pPr>
      <w:r>
        <w:t xml:space="preserve">6. Approval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Name</w:t>
            </w:r>
          </w:p>
        </w:tc>
        <w:tc>
          <w:tcPr/>
          <w:p>
            <w:pPr>
              <w:pStyle w:val="Compact"/>
            </w:pPr>
            <w:r>
              <w:t xml:space="preserve">Title</w:t>
            </w:r>
          </w:p>
        </w:tc>
        <w:tc>
          <w:tcPr/>
          <w:p>
            <w:pPr>
              <w:pStyle w:val="Compact"/>
            </w:pPr>
            <w:r>
              <w:t xml:space="preserve">Signature</w:t>
            </w:r>
          </w:p>
        </w:tc>
        <w:tc>
          <w:tcPr/>
          <w:p>
            <w:pPr>
              <w:pStyle w:val="Compact"/>
            </w:pPr>
            <w: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name]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business or process owner]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date]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name]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[System owner]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date]</w:t>
            </w:r>
          </w:p>
        </w:tc>
      </w:tr>
    </w:tbl>
    <w:p>
      <w:pPr>
        <w:pStyle w:val="BodyText"/>
      </w:pPr>
      <w:r>
        <w:t xml:space="preserve">Review this analysis with the contingency plan, and whenever the processes the system supports, or their priorities, change.</w:t>
      </w:r>
    </w:p>
    <w:bookmarkEnd w:id="19"/>
    <w:bookmarkEnd w:id="20"/>
    <w:sectPr>
      <w:headerReference r:id="rIdPres06Header" w:type="default"/>
      <w:footerReference r:id="rIdPres06Footer" w:type="default"/>
      <w:footnotePr>
        <w:numRestart w:val="eachSect"/>
      </w:footnotePr>
      <w:pgSz w:h="15840" w:w="12240"/>
      <w:pgMar w:bottom="1440" w:footer="720" w:gutter="0" w:header="720" w:left="1440" w:right="1440" w:top="144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</w:pPr>
    <w:r>
      <w:t xml:space="preserve">Page </w:t>
    </w:r>
    <w:fldSimple w:instr=" PAGE ">
      <w:r>
        <w:t xml:space="preserve">1</w:t>
      </w:r>
    </w:fldSimple>
    <w:r>
      <w:t xml:space="preserve"> of </w:t>
    </w:r>
    <w:fldSimple w:instr=" NUMPAGES ">
      <w:r>
        <w:t xml:space="preserve">1</w:t>
      </w:r>
    </w:fldSimple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w="http://schemas.openxmlformats.org/wordprocessingml/2006/main" xmlns:r="http://schemas.openxmlformats.org/officeDocument/2006/relationships">
  <w:p>
    <w:pPr>
      <w:pStyle w:val="Header"/>
    </w:pPr>
    <w:r>
      <w:t xml:space="preserve">Business Impact Analysis</w:t>
    </w:r>
    <w:r>
      <w:tab/>
    </w:r>
    <w:r>
      <w:t xml:space="preserve">Version 1.0.0</w:t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Theme="minorEastAsia" w:hAnsi="Calibri"/>
        <w:sz w:val="22"/>
        <w:szCs w:val="22"/>
        <w:lang w:bidi="ar-SA" w:eastAsia="zh-CN" w:val="en-US"/>
      </w:rPr>
    </w:rPrDefault>
    <w:pPrDefault>
      <w:pPr>
        <w:spacing w:after="120" w:line="264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60" w:before="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pPr>
      <w:spacing w:after="240"/>
      <w:contextualSpacing/>
    </w:pPr>
    <w:rPr>
      <w:rFonts w:ascii="Georgia" w:cs="Georgia" w:eastAsiaTheme="minorEastAsia" w:hAnsi="Georgia"/>
      <w:color w:val="0F5C5A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pPr>
      <w:keepNext/>
      <w:keepLines/>
      <w:spacing w:after="120" w:before="360"/>
      <w:outlineLvl w:val="0"/>
    </w:pPr>
    <w:rPr>
      <w:rFonts w:ascii="Georgia" w:cs="Georgia" w:eastAsiaTheme="minorEastAsia" w:hAnsi="Georgia"/>
      <w:color w:val="0F5C5A"/>
      <w:sz w:val="36"/>
      <w:szCs w:val="36"/>
    </w:rPr>
  </w:style>
  <w:style w:styleId="Heading2" w:type="paragraph">
    <w:name w:val="heading 2"/>
    <w:basedOn w:val="Normal"/>
    <w:next w:val="BodyText"/>
    <w:link w:val="Heading2Char"/>
    <w:uiPriority w:val="9"/>
    <w:qFormat/>
    <w:pPr>
      <w:keepNext/>
      <w:keepLines/>
      <w:spacing w:after="100" w:before="300"/>
      <w:outlineLvl w:val="1"/>
    </w:pPr>
    <w:rPr>
      <w:rFonts w:ascii="Georgia" w:cs="Georgia" w:eastAsiaTheme="minorEastAsia" w:hAnsi="Georgia"/>
      <w:color w:val="0F5C5A"/>
      <w:sz w:val="28"/>
      <w:szCs w:val="28"/>
    </w:rPr>
  </w:style>
  <w:style w:styleId="Heading3" w:type="paragraph">
    <w:name w:val="heading 3"/>
    <w:basedOn w:val="Normal"/>
    <w:next w:val="BodyText"/>
    <w:link w:val="Heading3Char"/>
    <w:uiPriority w:val="9"/>
    <w:qFormat/>
    <w:pPr>
      <w:keepNext/>
      <w:keepLines/>
      <w:spacing w:after="80" w:before="240"/>
      <w:outlineLvl w:val="2"/>
    </w:pPr>
    <w:rPr>
      <w:rFonts w:ascii="Georgia" w:cs="Georgia" w:eastAsiaTheme="minorEastAsia" w:hAnsi="Georgia"/>
      <w:b/>
      <w:bCs/>
      <w:color w:val="093A39"/>
      <w:sz w:val="24"/>
      <w:szCs w:val="24"/>
    </w:rPr>
  </w:style>
  <w:style w:styleId="Heading4" w:type="paragraph">
    <w:name w:val="heading 4"/>
    <w:basedOn w:val="Normal"/>
    <w:next w:val="BodyText"/>
    <w:link w:val="Heading4Char"/>
    <w:uiPriority w:val="9"/>
    <w:qFormat/>
    <w:pPr>
      <w:keepNext/>
      <w:keepLines/>
      <w:spacing w:after="60" w:before="200"/>
      <w:outlineLvl w:val="3"/>
    </w:pPr>
    <w:rPr>
      <w:rFonts w:ascii="Calibri" w:cs="Calibri" w:eastAsiaTheme="minorEastAsia" w:hAnsi="Calibri"/>
      <w:b/>
      <w:bCs/>
      <w:color w:val="093A39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uiPriority w:val="59"/>
    <w:qFormat/>
    <w:pPr>
      <w:spacing w:after="0" w:before="0"/>
    </w:pPr>
    <w:rPr>
      <w:sz w:val="20"/>
      <w:szCs w:val="20"/>
    </w:rPr>
    <w:tblPr>
      <w:tblInd w:type="dxa" w:w="0"/>
      <w:tblBorders>
        <w:top w:color="BFBFBF" w:space="0" w:sz="4" w:val="single"/>
        <w:left w:color="BFBFBF" w:space="0" w:sz="4" w:val="single"/>
        <w:bottom w:color="BFBFBF" w:space="0" w:sz="4" w:val="single"/>
        <w:right w:color="BFBFBF" w:space="0" w:sz="4" w:val="single"/>
        <w:insideH w:color="BFBFBF" w:space="0" w:sz="4" w:val="single"/>
        <w:insideV w:color="BFBFBF" w:space="0" w:sz="4" w:val="single"/>
      </w:tblBorders>
      <w:tblCellMar>
        <w:top w:type="dxa" w:w="60"/>
        <w:left w:type="dxa" w:w="108"/>
        <w:bottom w:type="dxa" w:w="60"/>
        <w:right w:type="dxa" w:w="108"/>
      </w:tblCellMar>
    </w:tblPr>
    <w:tblStylePr w:type="firstRow">
      <w:rPr>
        <w:b/>
        <w:bCs/>
        <w:color w:val="FFFFFF"/>
      </w:rPr>
      <w:tcPr>
        <w:shd w:color="auto" w:fill="0F5C5A" w:val="clear"/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0F5C5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Fill-in" w:type="character">
    <w:name w:val="Fill-in"/>
    <w:rPr>
      <w:highlight w:val="yellow"/>
    </w:rPr>
  </w:style>
  <w:style w:customStyle="1" w:styleId="Guidance" w:type="paragraph">
    <w:name w:val="Guidance"/>
    <w:basedOn w:val="Normal"/>
    <w:qFormat/>
    <w:pPr>
      <w:pBdr>
        <w:left w:color="0F5C5A" w:space="8" w:sz="18" w:val="single"/>
      </w:pBdr>
      <w:shd w:color="auto" w:fill="EAF4F3" w:val="clear"/>
      <w:ind w:left="284"/>
    </w:pPr>
    <w:rPr>
      <w:i/>
    </w:rPr>
  </w:style>
  <w:style w:styleId="Header" w:type="paragraph">
    <w:name w:val="header"/>
    <w:basedOn w:val="Normal"/>
    <w:uiPriority w:val="99"/>
    <w:unhideWhenUsed/>
    <w:pPr>
      <w:pBdr>
        <w:bottom w:color="0F5C5A" w:space="4" w:sz="4" w:val="single"/>
      </w:pBdr>
      <w:tabs>
        <w:tab w:pos="9360" w:val="right"/>
      </w:tabs>
      <w:spacing w:after="0"/>
    </w:pPr>
    <w:rPr>
      <w:color w:val="595959"/>
      <w:sz w:val="18"/>
      <w:szCs w:val="18"/>
    </w:rPr>
  </w:style>
  <w:style w:styleId="Footer" w:type="paragraph">
    <w:name w:val="footer"/>
    <w:basedOn w:val="Normal"/>
    <w:uiPriority w:val="99"/>
    <w:unhideWhenUsed/>
    <w:pPr>
      <w:jc w:val="center"/>
      <w:spacing w:after="0"/>
    </w:pPr>
    <w:rPr>
      <w:color w:val="595959"/>
      <w:sz w:val="18"/>
      <w:szCs w:val="18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Pres06Header" Target="header1.xml" Type="http://schemas.openxmlformats.org/officeDocument/2006/relationships/header" /><Relationship Id="rIdPres06Footer" Target="footer1.xml" Type="http://schemas.openxmlformats.org/officeDocument/2006/relationships/footer" /><Relationship Type="http://schemas.openxmlformats.org/officeDocument/2006/relationships/hyperlink" Id="rId10" Target="https://creativecommons.org/publicdomain/zero/1.0/" TargetMode="External" /><Relationship Type="http://schemas.openxmlformats.org/officeDocument/2006/relationships/hyperlink" Id="rId9" Target="https://kston83.github.io/nist-guide/templates/reports/business-impact-analysis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https://creativecommons.org/publicdomain/zero/1.0/" TargetMode="External" /><Relationship Type="http://schemas.openxmlformats.org/officeDocument/2006/relationships/hyperlink" Id="rId9" Target="https://kston83.github.io/nist-guide/templates/reports/business-impact-analysis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2026-10-16T17:54:52Z</dcterms:created>
  <dcterms:modified xsi:type="dcterms:W3CDTF">2026-10-16T17:54:52Z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