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privacy-impact-assessment"/>
    <w:p>
      <w:pPr>
        <w:pStyle w:val="Heading1"/>
      </w:pPr>
      <w:r>
        <w:t xml:space="preserve">Privacy Impact Assessment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https://kston83.github.io/nist-guide/templates/reports/privacy-impact-assessment/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SP 800-53 describes a privacy impact assessment (PIA) as</w:t>
      </w:r>
      <w:r>
        <w:t xml:space="preserve"> </w:t>
      </w:r>
      <w:r>
        <w:t xml:space="preserve">“an analysis of how personally identifiable information is handled to ensure that handling conforms to applicable privacy requirements, determine the privacy risks associated with an information system or activity, and evaluate ways to mitigate privacy risks”</w:t>
      </w:r>
      <w:r>
        <w:t xml:space="preserve">, and as</w:t>
      </w:r>
      <w:r>
        <w:t xml:space="preserve"> </w:t>
      </w:r>
      <w:r>
        <w:t xml:space="preserve">“both an analysis and a formal document”</w:t>
      </w:r>
      <w:r>
        <w:t xml:space="preserve"> </w:t>
      </w:r>
      <w:r>
        <w:t xml:space="preserve">(RA-8 discussion). Start it early, while the design can still change, and work with the program manager, system owner, IT and security staff and legal counsel. Section 1 is a short screening, which RA-8 notes some organizations call a privacy threshold analysis: if it shows no personally identifiable information, stop there and keep the signed screening as the record. Sections 3 to 9 answer the questions section 208(b) of the U.S. E-Government Act says a federal PIA must address, which suit any organization, plus the PT controls this assessment documents. The authority, purposes and sharing recorded here are what the</w:t>
      </w:r>
      <w:r>
        <w:t xml:space="preserve"> </w:t>
      </w:r>
      <w:hyperlink r:id="rId11">
        <w:r>
          <w:rPr>
            <w:rStyle w:val="Hyperlink"/>
          </w:rPr>
          <w:t xml:space="preserve">privacy notice</w:t>
        </w:r>
      </w:hyperlink>
      <w:r>
        <w:t xml:space="preserve"> </w:t>
      </w:r>
      <w:r>
        <w:t xml:space="preserve">tells the public, so keep the two in step. Risks found here go into the</w:t>
      </w:r>
      <w:r>
        <w:t xml:space="preserve"> </w:t>
      </w:r>
      <w:hyperlink r:id="rId12">
        <w:r>
          <w:rPr>
            <w:rStyle w:val="Hyperlink"/>
          </w:rPr>
          <w:t xml:space="preserve">risk register</w:t>
        </w:r>
      </w:hyperlink>
      <w:r>
        <w:t xml:space="preserve">. Assessors check that the PIA predates the system’s development or the new collection, and that it was updated after the last significant change.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program or activity</w:t>
            </w:r>
          </w:p>
        </w:tc>
        <w:tc>
          <w:tcPr/>
          <w:p>
            <w:pPr>
              <w:pStyle w:val="Compact"/>
            </w:pPr>
            <w:r>
              <w:t xml:space="preserve">Identifier</w:t>
            </w:r>
          </w:p>
        </w:tc>
        <w:tc>
          <w:tcPr/>
          <w:p>
            <w:pPr>
              <w:pStyle w:val="Compact"/>
            </w:pPr>
            <w:r>
              <w:t xml:space="preserve">PIA version</w:t>
            </w:r>
          </w:p>
        </w:tc>
        <w:tc>
          <w:tcPr/>
          <w:p>
            <w:pPr>
              <w:pStyle w:val="Compact"/>
            </w:pPr>
            <w:r>
              <w:t xml:space="preserve">Date</w:t>
            </w:r>
          </w:p>
        </w:tc>
        <w:tc>
          <w:tcPr/>
          <w:p>
            <w:pPr>
              <w:pStyle w:val="Compact"/>
            </w:pPr>
            <w:r>
              <w:t xml:space="preserve">Prepared by</w:t>
            </w:r>
          </w:p>
        </w:tc>
      </w:tr>
      <w:tr>
        <w:tc>
          <w:tcPr/>
          <w:p>
            <w:pPr>
              <w:pStyle w:val="Compact"/>
            </w:pPr>
            <w:r>
              <w:rPr>
                <w:rStyle w:val="Fill-in"/>
              </w:rPr>
              <w:t xml:space="preserve">[Fill in: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names and titles]</w:t>
            </w:r>
          </w:p>
        </w:tc>
      </w:tr>
    </w:tbl>
    <w:bookmarkStart w:id="13" w:name="privacy-screening"/>
    <w:p>
      <w:pPr>
        <w:pStyle w:val="Heading2"/>
      </w:pPr>
      <w:r>
        <w:t xml:space="preserve">1. Privacy screening</w:t>
      </w:r>
    </w:p>
    <w:p>
      <w:pPr>
        <w:pStyle w:val="FirstParagraph"/>
      </w:pPr>
      <w:r>
        <w:t xml:space="preserve">Answer these questions for every new system, project or collection, and for every significant change to one.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Answer</w:t>
            </w:r>
          </w:p>
        </w:tc>
      </w:tr>
      <w:tr>
        <w:tc>
          <w:tcPr/>
          <w:p>
            <w:pPr>
              <w:pStyle w:val="Compact"/>
            </w:pPr>
            <w:r>
              <w:t xml:space="preserve">Does the system, program or activity create, collect, use, process, store, maintain, share or dispose of personally identifiable information?</w:t>
            </w:r>
          </w:p>
        </w:tc>
        <w:tc>
          <w:tcPr/>
          <w:p>
            <w:pPr>
              <w:pStyle w:val="Compact"/>
            </w:pPr>
            <w:r>
              <w:rPr>
                <w:rStyle w:val="Fill-in"/>
              </w:rPr>
              <w:t xml:space="preserve">[Fill in: yes or no, and which information]</w:t>
            </w:r>
          </w:p>
        </w:tc>
      </w:tr>
      <w:tr>
        <w:tc>
          <w:tcPr/>
          <w:p>
            <w:pPr>
              <w:pStyle w:val="Compact"/>
            </w:pPr>
            <w:r>
              <w:t xml:space="preserve">Is the organization developing or procuring information technology that will process personally identifiable information? (RA-8a)</w:t>
            </w:r>
          </w:p>
        </w:tc>
        <w:tc>
          <w:tcPr/>
          <w:p>
            <w:pPr>
              <w:pStyle w:val="Compact"/>
            </w:pPr>
            <w:r>
              <w:rPr>
                <w:rStyle w:val="Fill-in"/>
              </w:rPr>
              <w:t xml:space="preserve">[Fill in: yes or no]</w:t>
            </w:r>
          </w:p>
        </w:tc>
      </w:tr>
      <w:tr>
        <w:tc>
          <w:tcPr/>
          <w:p>
            <w:pPr>
              <w:pStyle w:val="Compact"/>
            </w:pPr>
            <w:r>
              <w:t xml:space="preserve">Is the organization starting a new collection of personally identifiable information that will be processed using information technology? (RA-8b)</w:t>
            </w:r>
          </w:p>
        </w:tc>
        <w:tc>
          <w:tcPr/>
          <w:p>
            <w:pPr>
              <w:pStyle w:val="Compact"/>
            </w:pPr>
            <w:r>
              <w:rPr>
                <w:rStyle w:val="Fill-in"/>
              </w:rPr>
              <w:t xml:space="preserve">[Fill in: yes or no]</w:t>
            </w:r>
          </w:p>
        </w:tc>
      </w:tr>
      <w:tr>
        <w:tc>
          <w:tcPr/>
          <w:p>
            <w:pPr>
              <w:pStyle w:val="Compact"/>
            </w:pPr>
            <w:r>
              <w:t xml:space="preserve">Does the collection include information that permits the physical or online contacting of a specific individual, and pose identical questions to ten or more individuals? (RA-8b.2)</w:t>
            </w:r>
          </w:p>
        </w:tc>
        <w:tc>
          <w:tcPr/>
          <w:p>
            <w:pPr>
              <w:pStyle w:val="Compact"/>
            </w:pPr>
            <w:r>
              <w:rPr>
                <w:rStyle w:val="Fill-in"/>
              </w:rPr>
              <w:t xml:space="preserve">[Fill in: yes or no]</w:t>
            </w:r>
          </w:p>
        </w:tc>
      </w:tr>
      <w:tr>
        <w:tc>
          <w:tcPr/>
          <w:p>
            <w:pPr>
              <w:pStyle w:val="Compact"/>
            </w:pPr>
            <w:r>
              <w:t xml:space="preserve">Is this a change to a system or collection that already has a PIA? If so, what changed?</w:t>
            </w:r>
          </w:p>
        </w:tc>
        <w:tc>
          <w:tcPr/>
          <w:p>
            <w:pPr>
              <w:pStyle w:val="Compact"/>
            </w:pPr>
            <w:r>
              <w:rPr>
                <w:rStyle w:val="Fill-in"/>
              </w:rPr>
              <w:t xml:space="preserve">[Fill in: yes or no, and the change]</w:t>
            </w:r>
          </w:p>
        </w:tc>
      </w:tr>
    </w:tbl>
    <w:p>
      <w:pPr>
        <w:pStyle w:val="BodyText"/>
      </w:pPr>
      <w:r>
        <w:rPr>
          <w:b/>
          <w:bCs/>
        </w:rPr>
        <w:t xml:space="preserve">Result:</w:t>
      </w:r>
      <w:r>
        <w:t xml:space="preserve"> </w:t>
      </w:r>
      <w:r>
        <w:rPr>
          <w:rStyle w:val="Fill-in"/>
        </w:rPr>
        <w:t xml:space="preserve">[Fill in: full PIA required, PIA update required, or no PIA required, with the reason]</w:t>
      </w:r>
      <w:r>
        <w:t xml:space="preserve">. Screened by</w:t>
      </w:r>
      <w:r>
        <w:t xml:space="preserve"> </w:t>
      </w:r>
      <w:r>
        <w:rPr>
          <w:rStyle w:val="Fill-in"/>
        </w:rPr>
        <w:t xml:space="preserve">[Fill in: name and title]</w:t>
      </w:r>
      <w:r>
        <w:t xml:space="preserve"> </w:t>
      </w:r>
      <w:r>
        <w:t xml:space="preserve">on</w:t>
      </w:r>
      <w:r>
        <w:t xml:space="preserve"> </w:t>
      </w:r>
      <w:r>
        <w:rPr>
          <w:rStyle w:val="Fill-in"/>
        </w:rPr>
        <w:t xml:space="preserve">[Fill in: date]</w:t>
      </w:r>
      <w:r>
        <w:t xml:space="preserve">; confirmed by the</w:t>
      </w:r>
      <w:r>
        <w:t xml:space="preserve"> </w:t>
      </w:r>
      <w:r>
        <w:rPr>
          <w:rStyle w:val="Fill-in"/>
        </w:rPr>
        <w:t xml:space="preserve">[Senior privacy official]</w:t>
      </w:r>
      <w:r>
        <w:t xml:space="preserve">.</w:t>
      </w:r>
    </w:p>
    <w:bookmarkEnd w:id="13"/>
    <w:bookmarkStart w:id="14" w:name="overview"/>
    <w:p>
      <w:pPr>
        <w:pStyle w:val="Heading2"/>
      </w:pPr>
      <w:r>
        <w:t xml:space="preserve">2. Overview</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Description</w:t>
            </w:r>
          </w:p>
        </w:tc>
        <w:tc>
          <w:tcPr/>
          <w:p>
            <w:pPr>
              <w:pStyle w:val="Compact"/>
            </w:pPr>
            <w:r>
              <w:rPr>
                <w:rStyle w:val="Fill-in"/>
              </w:rPr>
              <w:t xml:space="preserve">[Fill in: what the system, program or activity does, who uses it, and where it runs, or a reference to the system security plan]</w:t>
            </w:r>
          </w:p>
        </w:tc>
      </w:tr>
      <w:tr>
        <w:tc>
          <w:tcPr/>
          <w:p>
            <w:pPr>
              <w:pStyle w:val="Compact"/>
            </w:pPr>
            <w:r>
              <w:t xml:space="preserve">Life cycle stage</w:t>
            </w:r>
          </w:p>
        </w:tc>
        <w:tc>
          <w:tcPr/>
          <w:p>
            <w:pPr>
              <w:pStyle w:val="Compact"/>
            </w:pPr>
            <w:r>
              <w:rPr>
                <w:rStyle w:val="Fill-in"/>
              </w:rPr>
              <w:t xml:space="preserve">[Fill in: planned, in development, in operation, or being changed]</w:t>
            </w:r>
          </w:p>
        </w:tc>
      </w:tr>
      <w:tr>
        <w:tc>
          <w:tcPr/>
          <w:p>
            <w:pPr>
              <w:pStyle w:val="Compact"/>
            </w:pPr>
            <w:r>
              <w:t xml:space="preserve">Reason for this PIA</w:t>
            </w:r>
          </w:p>
        </w:tc>
        <w:tc>
          <w:tcPr/>
          <w:p>
            <w:pPr>
              <w:pStyle w:val="Compact"/>
            </w:pPr>
            <w:r>
              <w:rPr>
                <w:rStyle w:val="Fill-in"/>
              </w:rPr>
              <w:t xml:space="preserve">[Fill in: new system, new collection, significant change, or scheduled review]</w:t>
            </w:r>
          </w:p>
        </w:tc>
      </w:tr>
      <w:tr>
        <w:tc>
          <w:tcPr/>
          <w:p>
            <w:pPr>
              <w:pStyle w:val="Compact"/>
            </w:pPr>
            <w:r>
              <w:t xml:space="preserve">Owner</w:t>
            </w:r>
          </w:p>
        </w:tc>
        <w:tc>
          <w:tcPr/>
          <w:p>
            <w:pPr>
              <w:pStyle w:val="Compact"/>
            </w:pPr>
            <w:r>
              <w:rPr>
                <w:rStyle w:val="Fill-in"/>
              </w:rPr>
              <w:t xml:space="preserve">[System owner]</w:t>
            </w:r>
            <w:r>
              <w:t xml:space="preserve">:</w:t>
            </w:r>
            <w:r>
              <w:t xml:space="preserve"> </w:t>
            </w:r>
            <w:r>
              <w:rPr>
                <w:rStyle w:val="Fill-in"/>
              </w:rPr>
              <w:t xml:space="preserve">[Fill in: name]</w:t>
            </w:r>
          </w:p>
        </w:tc>
      </w:tr>
      <w:tr>
        <w:tc>
          <w:tcPr/>
          <w:p>
            <w:pPr>
              <w:pStyle w:val="Compact"/>
            </w:pPr>
            <w:r>
              <w:t xml:space="preserve">Related documents</w:t>
            </w:r>
          </w:p>
        </w:tc>
        <w:tc>
          <w:tcPr/>
          <w:p>
            <w:pPr>
              <w:pStyle w:val="Compact"/>
            </w:pPr>
            <w:r>
              <w:rPr>
                <w:rStyle w:val="Fill-in"/>
              </w:rPr>
              <w:t xml:space="preserve">[Fill in: system security plan, security categorization, privacy notice, contracts and agreements]</w:t>
            </w:r>
          </w:p>
        </w:tc>
      </w:tr>
    </w:tbl>
    <w:bookmarkEnd w:id="14"/>
    <w:bookmarkStart w:id="15" w:name="information-collected"/>
    <w:p>
      <w:pPr>
        <w:pStyle w:val="Heading2"/>
      </w:pPr>
      <w:r>
        <w:t xml:space="preserve">3. Information collected</w:t>
      </w:r>
    </w:p>
    <w:p>
      <w:pPr>
        <w:pStyle w:val="FirstParagraph"/>
      </w:pPr>
      <w:r>
        <w:t xml:space="preserve">List every data element of personally identifiable information, including information the system creates, such as account identifiers, logs and inferences.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Data element</w:t>
            </w:r>
          </w:p>
        </w:tc>
        <w:tc>
          <w:tcPr/>
          <w:p>
            <w:pPr>
              <w:pStyle w:val="Compact"/>
            </w:pPr>
            <w:r>
              <w:t xml:space="preserve">About whom</w:t>
            </w:r>
          </w:p>
        </w:tc>
        <w:tc>
          <w:tcPr/>
          <w:p>
            <w:pPr>
              <w:pStyle w:val="Compact"/>
            </w:pPr>
            <w:r>
              <w:t xml:space="preserve">Source</w:t>
            </w:r>
          </w:p>
        </w:tc>
        <w:tc>
          <w:tcPr/>
          <w:p>
            <w:pPr>
              <w:pStyle w:val="Compact"/>
            </w:pPr>
            <w:r>
              <w:t xml:space="preserve">Required or optional</w:t>
            </w:r>
          </w:p>
        </w:tc>
        <w:tc>
          <w:tcPr/>
          <w:p>
            <w:pPr>
              <w:pStyle w:val="Compact"/>
            </w:pPr>
            <w:r>
              <w:t xml:space="preserve">Why it is needed</w:t>
            </w:r>
          </w:p>
        </w:tc>
      </w:tr>
      <w:tr>
        <w:tc>
          <w:tcPr/>
          <w:p>
            <w:pPr>
              <w:pStyle w:val="Compact"/>
            </w:pPr>
            <w:r>
              <w:rPr>
                <w:rStyle w:val="Fill-in"/>
              </w:rPr>
              <w:t xml:space="preserve">[Fill in: data element, for example email address]</w:t>
            </w:r>
          </w:p>
        </w:tc>
        <w:tc>
          <w:tcPr/>
          <w:p>
            <w:pPr>
              <w:pStyle w:val="Compact"/>
            </w:pPr>
            <w:r>
              <w:rPr>
                <w:rStyle w:val="Fill-in"/>
              </w:rPr>
              <w:t xml:space="preserve">[Fill in: for example customers, employees or members of the public]</w:t>
            </w:r>
          </w:p>
        </w:tc>
        <w:tc>
          <w:tcPr/>
          <w:p>
            <w:pPr>
              <w:pStyle w:val="Compact"/>
            </w:pPr>
            <w:r>
              <w:rPr>
                <w:rStyle w:val="Fill-in"/>
              </w:rPr>
              <w:t xml:space="preserve">[Fill in: for example the individual, another system, or a third party]</w:t>
            </w:r>
          </w:p>
        </w:tc>
        <w:tc>
          <w:tcPr/>
          <w:p>
            <w:pPr>
              <w:pStyle w:val="Compact"/>
            </w:pPr>
            <w:r>
              <w:rPr>
                <w:rStyle w:val="Fill-in"/>
              </w:rPr>
              <w:t xml:space="preserve">[Fill in: required or optional]</w:t>
            </w:r>
          </w:p>
        </w:tc>
        <w:tc>
          <w:tcPr/>
          <w:p>
            <w:pPr>
              <w:pStyle w:val="Compact"/>
            </w:pPr>
            <w:r>
              <w:rPr>
                <w:rStyle w:val="Fill-in"/>
              </w:rPr>
              <w:t xml:space="preserve">[Fill in: the purpose it serves; if none, remove it]</w:t>
            </w:r>
          </w:p>
        </w:tc>
      </w:tr>
    </w:tbl>
    <w:p>
      <w:pPr>
        <w:pStyle w:val="Compact"/>
        <w:numPr>
          <w:ilvl w:val="0"/>
          <w:numId w:val="1001"/>
        </w:numPr>
      </w:pPr>
      <w:r>
        <w:rPr>
          <w:b/>
          <w:bCs/>
        </w:rPr>
        <w:t xml:space="preserve">Specific categories:</w:t>
      </w:r>
      <w:r>
        <w:t xml:space="preserve"> </w:t>
      </w:r>
      <w:r>
        <w:rPr>
          <w:rStyle w:val="Fill-in"/>
        </w:rPr>
        <w:t xml:space="preserve">[Fill in: whether the system processes Social Security numbers, health, financial or biometric information, information about children, or information about how individuals exercise First Amendment rights, and which conditions apply]</w:t>
      </w:r>
      <w:r>
        <w:t xml:space="preserve">. Designated categories are handled under</w:t>
      </w:r>
      <w:r>
        <w:t xml:space="preserve"> </w:t>
      </w:r>
      <w:r>
        <w:rPr>
          <w:rStyle w:val="Fill-in"/>
        </w:rPr>
        <w:t xml:space="preserve">[Fill in: processing conditions to be applied for specific categories of personally identifiable information. Typical: the conditions the senior privacy official sets for each designated category, such as collection only where law requires it or a documented need exists, encryption, and access limited to named roles]</w:t>
      </w:r>
      <w:r>
        <w:t xml:space="preserve"> </w:t>
      </w:r>
      <w:r>
        <w:t xml:space="preserve">(PT-7).</w:t>
      </w:r>
    </w:p>
    <w:p>
      <w:pPr>
        <w:pStyle w:val="Compact"/>
        <w:numPr>
          <w:ilvl w:val="0"/>
          <w:numId w:val="1001"/>
        </w:numPr>
      </w:pPr>
      <w:r>
        <w:rPr>
          <w:b/>
          <w:bCs/>
        </w:rPr>
        <w:t xml:space="preserve">Minimization:</w:t>
      </w:r>
      <w:r>
        <w:t xml:space="preserve"> </w:t>
      </w:r>
      <w:r>
        <w:rPr>
          <w:rStyle w:val="Fill-in"/>
        </w:rPr>
        <w:t xml:space="preserve">[Fill in: the data elements considered and left out, and any alternative to collecting an identifier, such as a Social Security number]</w:t>
      </w:r>
    </w:p>
    <w:bookmarkEnd w:id="15"/>
    <w:bookmarkStart w:id="16" w:name="authority-and-purposes"/>
    <w:p>
      <w:pPr>
        <w:pStyle w:val="Heading2"/>
      </w:pPr>
      <w:r>
        <w:t xml:space="preserve">4. Authority and purposes</w:t>
      </w:r>
    </w:p>
    <w:p>
      <w:pPr>
        <w:pStyle w:val="Compact"/>
        <w:numPr>
          <w:ilvl w:val="0"/>
          <w:numId w:val="1002"/>
        </w:numPr>
      </w:pPr>
      <w:r>
        <w:rPr>
          <w:b/>
          <w:bCs/>
        </w:rPr>
        <w:t xml:space="preserve">Authority:</w:t>
      </w:r>
      <w:r>
        <w:t xml:space="preserve"> </w:t>
      </w:r>
      <w:r>
        <w:rPr>
          <w:rStyle w:val="Fill-in"/>
        </w:rPr>
        <w:t xml:space="preserve">[Fill in: the specific authority]</w:t>
      </w:r>
      <w:r>
        <w:t xml:space="preserve">, which is</w:t>
      </w:r>
      <w:r>
        <w:t xml:space="preserve"> </w:t>
      </w:r>
      <w:r>
        <w:rPr>
          <w:rStyle w:val="Fill-in"/>
        </w:rPr>
        <w:t xml:space="preserve">[Fill in: the authority to permit the processing of personally identifiable information. Typical: the law, regulation, contract or consent]</w:t>
      </w:r>
      <w:r>
        <w:t xml:space="preserve"> </w:t>
      </w:r>
      <w:r>
        <w:t xml:space="preserve">that permits the processing (PT-2a).</w:t>
      </w:r>
    </w:p>
    <w:p>
      <w:pPr>
        <w:pStyle w:val="Compact"/>
        <w:numPr>
          <w:ilvl w:val="0"/>
          <w:numId w:val="1002"/>
        </w:numPr>
      </w:pPr>
      <w:r>
        <w:rPr>
          <w:b/>
          <w:bCs/>
        </w:rPr>
        <w:t xml:space="preserve">Purposes:</w:t>
      </w:r>
      <w:r>
        <w:t xml:space="preserve"> </w:t>
      </w:r>
      <w:r>
        <w:rPr>
          <w:rStyle w:val="Fill-in"/>
        </w:rPr>
        <w:t xml:space="preserve">[Fill in: the purpose(s) for processing personally identifiable information. Typical: the specific, explicit purposes of the system or program]</w:t>
      </w:r>
      <w:r>
        <w:t xml:space="preserve">, listed below (PT-3a).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Purpose</w:t>
            </w:r>
          </w:p>
        </w:tc>
        <w:tc>
          <w:tcPr/>
          <w:p>
            <w:pPr>
              <w:pStyle w:val="Compact"/>
            </w:pPr>
            <w:r>
              <w:t xml:space="preserve">Data elements used</w:t>
            </w:r>
          </w:p>
        </w:tc>
        <w:tc>
          <w:tcPr/>
          <w:p>
            <w:pPr>
              <w:pStyle w:val="Compact"/>
            </w:pPr>
            <w:r>
              <w:t xml:space="preserve">Compatible with the purpose of collection?</w:t>
            </w:r>
          </w:p>
        </w:tc>
      </w:tr>
      <w:tr>
        <w:tc>
          <w:tcPr/>
          <w:p>
            <w:pPr>
              <w:pStyle w:val="Compact"/>
            </w:pPr>
            <w:r>
              <w:rPr>
                <w:rStyle w:val="Fill-in"/>
              </w:rPr>
              <w:t xml:space="preserve">[Fill in: purpose]</w:t>
            </w:r>
          </w:p>
        </w:tc>
        <w:tc>
          <w:tcPr/>
          <w:p>
            <w:pPr>
              <w:pStyle w:val="Compact"/>
            </w:pPr>
            <w:r>
              <w:rPr>
                <w:rStyle w:val="Fill-in"/>
              </w:rPr>
              <w:t xml:space="preserve">[Fill in: data elements]</w:t>
            </w:r>
          </w:p>
        </w:tc>
        <w:tc>
          <w:tcPr/>
          <w:p>
            <w:pPr>
              <w:pStyle w:val="Compact"/>
            </w:pPr>
            <w:r>
              <w:rPr>
                <w:rStyle w:val="Fill-in"/>
              </w:rPr>
              <w:t xml:space="preserve">[Fill in: yes, or the approval and notice given for the new purpose]</w:t>
            </w:r>
          </w:p>
        </w:tc>
      </w:tr>
    </w:tbl>
    <w:p>
      <w:pPr>
        <w:pStyle w:val="Compact"/>
        <w:numPr>
          <w:ilvl w:val="0"/>
          <w:numId w:val="1003"/>
        </w:numPr>
      </w:pPr>
      <w:r>
        <w:rPr>
          <w:b/>
          <w:bCs/>
        </w:rPr>
        <w:t xml:space="preserve">Uses beyond the stated purposes:</w:t>
      </w:r>
      <w:r>
        <w:t xml:space="preserve"> </w:t>
      </w:r>
      <w:r>
        <w:rPr>
          <w:rStyle w:val="Fill-in"/>
        </w:rPr>
        <w:t xml:space="preserve">[Fill in: analytics, matching with other data, model training, testing with real data, or none]</w:t>
      </w:r>
    </w:p>
    <w:p>
      <w:pPr>
        <w:pStyle w:val="Compact"/>
        <w:numPr>
          <w:ilvl w:val="0"/>
          <w:numId w:val="1003"/>
        </w:numPr>
      </w:pPr>
      <w:r>
        <w:rPr>
          <w:b/>
          <w:bCs/>
        </w:rPr>
        <w:t xml:space="preserve">New information created:</w:t>
      </w:r>
      <w:r>
        <w:t xml:space="preserve"> </w:t>
      </w:r>
      <w:r>
        <w:rPr>
          <w:rStyle w:val="Fill-in"/>
        </w:rPr>
        <w:t xml:space="preserve">[Fill in: any scores, profiles or inferences the system derives about individuals, and how they are used]</w:t>
      </w:r>
    </w:p>
    <w:bookmarkEnd w:id="16"/>
    <w:bookmarkStart w:id="17" w:name="notice-and-consent"/>
    <w:p>
      <w:pPr>
        <w:pStyle w:val="Heading2"/>
      </w:pPr>
      <w:r>
        <w:t xml:space="preserve">5. Notice and consent</w:t>
      </w:r>
    </w:p>
    <w:p>
      <w:pPr>
        <w:pStyle w:val="Compact"/>
        <w:numPr>
          <w:ilvl w:val="0"/>
          <w:numId w:val="1004"/>
        </w:numPr>
      </w:pPr>
      <w:r>
        <w:rPr>
          <w:b/>
          <w:bCs/>
        </w:rPr>
        <w:t xml:space="preserve">Notice given:</w:t>
      </w:r>
      <w:r>
        <w:t xml:space="preserve"> </w:t>
      </w:r>
      <w:r>
        <w:rPr>
          <w:rStyle w:val="Fill-in"/>
        </w:rPr>
        <w:t xml:space="preserve">[Fill in: the privacy notice and short notices that describe this processing, with links, and when individuals see them]</w:t>
      </w:r>
      <w:r>
        <w:t xml:space="preserve"> </w:t>
      </w:r>
      <w:r>
        <w:t xml:space="preserve">(PT-5)</w:t>
      </w:r>
    </w:p>
    <w:p>
      <w:pPr>
        <w:pStyle w:val="Compact"/>
        <w:numPr>
          <w:ilvl w:val="0"/>
          <w:numId w:val="1004"/>
        </w:numPr>
      </w:pPr>
      <w:r>
        <w:rPr>
          <w:b/>
          <w:bCs/>
        </w:rPr>
        <w:t xml:space="preserve">Consent:</w:t>
      </w:r>
      <w:r>
        <w:t xml:space="preserve"> </w:t>
      </w:r>
      <w:r>
        <w:rPr>
          <w:rStyle w:val="Fill-in"/>
        </w:rPr>
        <w:t xml:space="preserve">[Fill in: the processing that relies on consent, how consent is asked for and recorded, and how individuals withdraw it; or why consent is not the basis]</w:t>
      </w:r>
      <w:r>
        <w:t xml:space="preserve"> </w:t>
      </w:r>
      <w:r>
        <w:t xml:space="preserve">(PT-4)</w:t>
      </w:r>
    </w:p>
    <w:p>
      <w:pPr>
        <w:pStyle w:val="Compact"/>
        <w:numPr>
          <w:ilvl w:val="0"/>
          <w:numId w:val="1004"/>
        </w:numPr>
      </w:pPr>
      <w:r>
        <w:rPr>
          <w:b/>
          <w:bCs/>
        </w:rPr>
        <w:t xml:space="preserve">Choices:</w:t>
      </w:r>
      <w:r>
        <w:t xml:space="preserve"> </w:t>
      </w:r>
      <w:r>
        <w:rPr>
          <w:rStyle w:val="Fill-in"/>
        </w:rPr>
        <w:t xml:space="preserve">[Fill in: any choice individuals have about particular uses or sharing, and how they exercise it]</w:t>
      </w:r>
    </w:p>
    <w:bookmarkEnd w:id="17"/>
    <w:bookmarkStart w:id="18" w:name="sharing-and-disclosure"/>
    <w:p>
      <w:pPr>
        <w:pStyle w:val="Heading2"/>
      </w:pPr>
      <w:r>
        <w:t xml:space="preserve">6. Sharing and disclosure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Recipient</w:t>
            </w:r>
          </w:p>
        </w:tc>
        <w:tc>
          <w:tcPr/>
          <w:p>
            <w:pPr>
              <w:pStyle w:val="Compact"/>
            </w:pPr>
            <w:r>
              <w:t xml:space="preserve">Inside or outside the organization</w:t>
            </w:r>
          </w:p>
        </w:tc>
        <w:tc>
          <w:tcPr/>
          <w:p>
            <w:pPr>
              <w:pStyle w:val="Compact"/>
            </w:pPr>
            <w:r>
              <w:t xml:space="preserve">Data elements</w:t>
            </w:r>
          </w:p>
        </w:tc>
        <w:tc>
          <w:tcPr/>
          <w:p>
            <w:pPr>
              <w:pStyle w:val="Compact"/>
            </w:pPr>
            <w:r>
              <w:t xml:space="preserve">Purpose</w:t>
            </w:r>
          </w:p>
        </w:tc>
        <w:tc>
          <w:tcPr/>
          <w:p>
            <w:pPr>
              <w:pStyle w:val="Compact"/>
            </w:pPr>
            <w:r>
              <w:t xml:space="preserve">Authority or agreement</w:t>
            </w:r>
          </w:p>
        </w:tc>
        <w:tc>
          <w:tcPr/>
          <w:p>
            <w:pPr>
              <w:pStyle w:val="Compact"/>
            </w:pPr>
            <w:r>
              <w:t xml:space="preserve">How it is sent</w:t>
            </w:r>
          </w:p>
        </w:tc>
      </w:tr>
      <w:tr>
        <w:tc>
          <w:tcPr/>
          <w:p>
            <w:pPr>
              <w:pStyle w:val="Compact"/>
            </w:pPr>
            <w:r>
              <w:rPr>
                <w:rStyle w:val="Fill-in"/>
              </w:rPr>
              <w:t xml:space="preserve">[Fill in: recipient]</w:t>
            </w:r>
          </w:p>
        </w:tc>
        <w:tc>
          <w:tcPr/>
          <w:p>
            <w:pPr>
              <w:pStyle w:val="Compact"/>
            </w:pPr>
            <w:r>
              <w:rPr>
                <w:rStyle w:val="Fill-in"/>
              </w:rPr>
              <w:t xml:space="preserve">[Fill in: inside or outside]</w:t>
            </w:r>
          </w:p>
        </w:tc>
        <w:tc>
          <w:tcPr/>
          <w:p>
            <w:pPr>
              <w:pStyle w:val="Compact"/>
            </w:pPr>
            <w:r>
              <w:rPr>
                <w:rStyle w:val="Fill-in"/>
              </w:rPr>
              <w:t xml:space="preserve">[Fill in: data elements]</w:t>
            </w:r>
          </w:p>
        </w:tc>
        <w:tc>
          <w:tcPr/>
          <w:p>
            <w:pPr>
              <w:pStyle w:val="Compact"/>
            </w:pPr>
            <w:r>
              <w:rPr>
                <w:rStyle w:val="Fill-in"/>
              </w:rPr>
              <w:t xml:space="preserve">[Fill in: purpose]</w:t>
            </w:r>
          </w:p>
        </w:tc>
        <w:tc>
          <w:tcPr/>
          <w:p>
            <w:pPr>
              <w:pStyle w:val="Compact"/>
            </w:pPr>
            <w:r>
              <w:rPr>
                <w:rStyle w:val="Fill-in"/>
              </w:rPr>
              <w:t xml:space="preserve">[Fill in: contract, information exchange agreement, law, or consent]</w:t>
            </w:r>
          </w:p>
        </w:tc>
        <w:tc>
          <w:tcPr/>
          <w:p>
            <w:pPr>
              <w:pStyle w:val="Compact"/>
            </w:pPr>
            <w:r>
              <w:rPr>
                <w:rStyle w:val="Fill-in"/>
              </w:rPr>
              <w:t xml:space="preserve">[Fill in: method, for example an encrypted interface]</w:t>
            </w:r>
          </w:p>
        </w:tc>
      </w:tr>
    </w:tbl>
    <w:p>
      <w:pPr>
        <w:pStyle w:val="BodyText"/>
      </w:pPr>
      <w:r>
        <w:t xml:space="preserve">This table sets the processing rules for each flow of personally identifiable information across the system boundary:</w:t>
      </w:r>
      <w:r>
        <w:t xml:space="preserve"> </w:t>
      </w:r>
      <w:r>
        <w:rPr>
          <w:rStyle w:val="Fill-in"/>
        </w:rPr>
        <w:t xml:space="preserve">[Fill in: processing rules for systems that process personally identifiable information. Typical: the permitted purposes, recipients and data elements for each flow of personally identifiable information, as set out in the system’s privacy impact assessment]</w:t>
      </w:r>
      <w:r>
        <w:t xml:space="preserve"> </w:t>
      </w:r>
      <w:r>
        <w:t xml:space="preserve">(SC-7(24)).</w:t>
      </w:r>
    </w:p>
    <w:bookmarkEnd w:id="18"/>
    <w:bookmarkStart w:id="19" w:name="retention-and-disposal"/>
    <w:p>
      <w:pPr>
        <w:pStyle w:val="Heading2"/>
      </w:pPr>
      <w:r>
        <w:t xml:space="preserve">7. Retention and disposal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Data element or record</w:t>
            </w:r>
          </w:p>
        </w:tc>
        <w:tc>
          <w:tcPr/>
          <w:p>
            <w:pPr>
              <w:pStyle w:val="Compact"/>
            </w:pPr>
            <w:r>
              <w:t xml:space="preserve">Retention period</w:t>
            </w:r>
          </w:p>
        </w:tc>
        <w:tc>
          <w:tcPr/>
          <w:p>
            <w:pPr>
              <w:pStyle w:val="Compact"/>
            </w:pPr>
            <w:r>
              <w:t xml:space="preserve">Authority for the period</w:t>
            </w:r>
          </w:p>
        </w:tc>
        <w:tc>
          <w:tcPr/>
          <w:p>
            <w:pPr>
              <w:pStyle w:val="Compact"/>
            </w:pPr>
            <w:r>
              <w:t xml:space="preserve">Disposal method</w:t>
            </w:r>
          </w:p>
        </w:tc>
      </w:tr>
      <w:tr>
        <w:tc>
          <w:tcPr/>
          <w:p>
            <w:pPr>
              <w:pStyle w:val="Compact"/>
            </w:pPr>
            <w:r>
              <w:rPr>
                <w:rStyle w:val="Fill-in"/>
              </w:rPr>
              <w:t xml:space="preserve">[Fill in: record]</w:t>
            </w:r>
          </w:p>
        </w:tc>
        <w:tc>
          <w:tcPr/>
          <w:p>
            <w:pPr>
              <w:pStyle w:val="Compact"/>
            </w:pPr>
            <w:r>
              <w:rPr>
                <w:rStyle w:val="Fill-in"/>
              </w:rPr>
              <w:t xml:space="preserve">[Fill in: period]</w:t>
            </w:r>
          </w:p>
        </w:tc>
        <w:tc>
          <w:tcPr/>
          <w:p>
            <w:pPr>
              <w:pStyle w:val="Compact"/>
            </w:pPr>
            <w:r>
              <w:rPr>
                <w:rStyle w:val="Fill-in"/>
              </w:rPr>
              <w:t xml:space="preserve">[Fill in: records schedule, law or policy]</w:t>
            </w:r>
          </w:p>
        </w:tc>
        <w:tc>
          <w:tcPr/>
          <w:p>
            <w:pPr>
              <w:pStyle w:val="Compact"/>
            </w:pPr>
            <w:r>
              <w:rPr>
                <w:rStyle w:val="Fill-in"/>
              </w:rPr>
              <w:t xml:space="preserve">[Fill in: for example deletion, cryptographic erase or de-identification]</w:t>
            </w:r>
          </w:p>
        </w:tc>
      </w:tr>
    </w:tbl>
    <w:bookmarkEnd w:id="19"/>
    <w:bookmarkStart w:id="20" w:name="access-correction-and-redress"/>
    <w:p>
      <w:pPr>
        <w:pStyle w:val="Heading2"/>
      </w:pPr>
      <w:r>
        <w:t xml:space="preserve">8. Access, correction and redress</w:t>
      </w:r>
    </w:p>
    <w:p>
      <w:pPr>
        <w:pStyle w:val="Compact"/>
        <w:numPr>
          <w:ilvl w:val="0"/>
          <w:numId w:val="1005"/>
        </w:numPr>
      </w:pPr>
      <w:r>
        <w:rPr>
          <w:b/>
          <w:bCs/>
        </w:rPr>
        <w:t xml:space="preserve">Access and correction:</w:t>
      </w:r>
      <w:r>
        <w:t xml:space="preserve"> </w:t>
      </w:r>
      <w:r>
        <w:rPr>
          <w:rStyle w:val="Fill-in"/>
        </w:rPr>
        <w:t xml:space="preserve">[Fill in: how individuals can see and correct their information, and how corrections reach recipients]</w:t>
      </w:r>
    </w:p>
    <w:p>
      <w:pPr>
        <w:pStyle w:val="Compact"/>
        <w:numPr>
          <w:ilvl w:val="0"/>
          <w:numId w:val="1005"/>
        </w:numPr>
      </w:pPr>
      <w:r>
        <w:rPr>
          <w:b/>
          <w:bCs/>
        </w:rPr>
        <w:t xml:space="preserve">Complaints:</w:t>
      </w:r>
      <w:r>
        <w:t xml:space="preserve"> </w:t>
      </w:r>
      <w:r>
        <w:rPr>
          <w:rStyle w:val="Fill-in"/>
        </w:rPr>
        <w:t xml:space="preserve">[Fill in: how individuals raise a concern, and who responds]</w:t>
      </w:r>
    </w:p>
    <w:p>
      <w:pPr>
        <w:pStyle w:val="Compact"/>
        <w:numPr>
          <w:ilvl w:val="0"/>
          <w:numId w:val="1005"/>
        </w:numPr>
      </w:pPr>
      <w:r>
        <w:rPr>
          <w:b/>
          <w:bCs/>
        </w:rPr>
        <w:t xml:space="preserve">Data quality:</w:t>
      </w:r>
      <w:r>
        <w:t xml:space="preserve"> </w:t>
      </w:r>
      <w:r>
        <w:rPr>
          <w:rStyle w:val="Fill-in"/>
        </w:rPr>
        <w:t xml:space="preserve">[Fill in: how the information is checked for accuracy, relevance, timeliness and completeness]</w:t>
      </w:r>
    </w:p>
    <w:bookmarkEnd w:id="20"/>
    <w:bookmarkStart w:id="21" w:name="security"/>
    <w:p>
      <w:pPr>
        <w:pStyle w:val="Heading2"/>
      </w:pPr>
      <w:r>
        <w:t xml:space="preserve">9. Security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Security categorization</w:t>
            </w:r>
          </w:p>
        </w:tc>
        <w:tc>
          <w:tcPr/>
          <w:p>
            <w:pPr>
              <w:pStyle w:val="Compact"/>
            </w:pPr>
            <w:r>
              <w:rPr>
                <w:rStyle w:val="Fill-in"/>
              </w:rPr>
              <w:t xml:space="preserve">[Fill in: low, moderate or high, from the security categorization worksheet]</w:t>
            </w:r>
          </w:p>
        </w:tc>
      </w:tr>
      <w:tr>
        <w:tc>
          <w:tcPr/>
          <w:p>
            <w:pPr>
              <w:pStyle w:val="Compact"/>
            </w:pPr>
            <w:r>
              <w:t xml:space="preserve">Controls</w:t>
            </w:r>
          </w:p>
        </w:tc>
        <w:tc>
          <w:tcPr/>
          <w:p>
            <w:pPr>
              <w:pStyle w:val="Compact"/>
            </w:pPr>
            <w:r>
              <w:rPr>
                <w:rStyle w:val="Fill-in"/>
              </w:rPr>
              <w:t xml:space="preserve">[Fill in: the main safeguards, for example encryption, role-based access, audit logging and monitoring, or a reference to the system security plan]</w:t>
            </w:r>
          </w:p>
        </w:tc>
      </w:tr>
      <w:tr>
        <w:tc>
          <w:tcPr/>
          <w:p>
            <w:pPr>
              <w:pStyle w:val="Compact"/>
            </w:pPr>
            <w:r>
              <w:t xml:space="preserve">Who has access</w:t>
            </w:r>
          </w:p>
        </w:tc>
        <w:tc>
          <w:tcPr/>
          <w:p>
            <w:pPr>
              <w:pStyle w:val="Compact"/>
            </w:pPr>
            <w:r>
              <w:rPr>
                <w:rStyle w:val="Fill-in"/>
              </w:rPr>
              <w:t xml:space="preserve">[Fill in: roles with access to personally identifiable information, and how access is approved and reviewed]</w:t>
            </w:r>
          </w:p>
        </w:tc>
      </w:tr>
      <w:tr>
        <w:tc>
          <w:tcPr/>
          <w:p>
            <w:pPr>
              <w:pStyle w:val="Compact"/>
            </w:pPr>
            <w:r>
              <w:t xml:space="preserve">Authorization</w:t>
            </w:r>
          </w:p>
        </w:tc>
        <w:tc>
          <w:tcPr/>
          <w:p>
            <w:pPr>
              <w:pStyle w:val="Compact"/>
            </w:pPr>
            <w:r>
              <w:rPr>
                <w:rStyle w:val="Fill-in"/>
              </w:rPr>
              <w:t xml:space="preserve">[Fill in: authorization status and date]</w:t>
            </w:r>
          </w:p>
        </w:tc>
      </w:tr>
    </w:tbl>
    <w:bookmarkEnd w:id="21"/>
    <w:bookmarkStart w:id="22" w:name="privacy-risks-and-mitigations"/>
    <w:p>
      <w:pPr>
        <w:pStyle w:val="Heading2"/>
      </w:pPr>
      <w:r>
        <w:t xml:space="preserve">10. Privacy risks and mitigations</w:t>
      </w:r>
    </w:p>
    <w:p>
      <w:pPr>
        <w:pStyle w:val="FirstParagraph"/>
      </w:pPr>
      <w:r>
        <w:t xml:space="preserve">Rate each risk to individuals with the organization’s risk scales (RA-3). Consider risks such as collecting more than needed, use beyond the stated purposes, unauthorized access or disclosure, inaccurate information, re-identification, and individuals not understanding what happens to their information.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Risk to individuals</w:t>
            </w:r>
          </w:p>
        </w:tc>
        <w:tc>
          <w:tcPr/>
          <w:p>
            <w:pPr>
              <w:pStyle w:val="Compact"/>
            </w:pPr>
            <w:r>
              <w:t xml:space="preserve">Likelihood</w:t>
            </w:r>
          </w:p>
        </w:tc>
        <w:tc>
          <w:tcPr/>
          <w:p>
            <w:pPr>
              <w:pStyle w:val="Compact"/>
            </w:pPr>
            <w:r>
              <w:t xml:space="preserve">Impact</w:t>
            </w:r>
          </w:p>
        </w:tc>
        <w:tc>
          <w:tcPr/>
          <w:p>
            <w:pPr>
              <w:pStyle w:val="Compact"/>
            </w:pPr>
            <w:r>
              <w:t xml:space="preserve">Mitigation</w:t>
            </w:r>
          </w:p>
        </w:tc>
        <w:tc>
          <w:tcPr/>
          <w:p>
            <w:pPr>
              <w:pStyle w:val="Compact"/>
            </w:pPr>
            <w:r>
              <w:t xml:space="preserve">Residual risk</w:t>
            </w:r>
          </w:p>
        </w:tc>
        <w:tc>
          <w:tcPr/>
          <w:p>
            <w:pPr>
              <w:pStyle w:val="Compact"/>
            </w:pPr>
            <w:r>
              <w:t xml:space="preserve">Owner</w:t>
            </w:r>
          </w:p>
        </w:tc>
      </w:tr>
      <w:tr>
        <w:tc>
          <w:tcPr/>
          <w:p>
            <w:pPr>
              <w:pStyle w:val="Compact"/>
            </w:pPr>
            <w:r>
              <w:rPr>
                <w:rStyle w:val="Fill-in"/>
              </w:rPr>
              <w:t xml:space="preserve">[Fill in: risk]</w:t>
            </w:r>
          </w:p>
        </w:tc>
        <w:tc>
          <w:tcPr/>
          <w:p>
            <w:pPr>
              <w:pStyle w:val="Compact"/>
            </w:pPr>
            <w:r>
              <w:rPr>
                <w:rStyle w:val="Fill-in"/>
              </w:rPr>
              <w:t xml:space="preserve">[Fill in: level]</w:t>
            </w:r>
          </w:p>
        </w:tc>
        <w:tc>
          <w:tcPr/>
          <w:p>
            <w:pPr>
              <w:pStyle w:val="Compact"/>
            </w:pPr>
            <w:r>
              <w:rPr>
                <w:rStyle w:val="Fill-in"/>
              </w:rPr>
              <w:t xml:space="preserve">[Fill in: level]</w:t>
            </w:r>
          </w:p>
        </w:tc>
        <w:tc>
          <w:tcPr/>
          <w:p>
            <w:pPr>
              <w:pStyle w:val="Compact"/>
            </w:pPr>
            <w:r>
              <w:rPr>
                <w:rStyle w:val="Fill-in"/>
              </w:rPr>
              <w:t xml:space="preserve">[Fill in: mitigation in place or planned]</w:t>
            </w:r>
          </w:p>
        </w:tc>
        <w:tc>
          <w:tcPr/>
          <w:p>
            <w:pPr>
              <w:pStyle w:val="Compact"/>
            </w:pPr>
            <w:r>
              <w:rPr>
                <w:rStyle w:val="Fill-in"/>
              </w:rPr>
              <w:t xml:space="preserve">[Fill in: level]</w:t>
            </w:r>
          </w:p>
        </w:tc>
        <w:tc>
          <w:tcPr/>
          <w:p>
            <w:pPr>
              <w:pStyle w:val="Compact"/>
            </w:pPr>
            <w:r>
              <w:rPr>
                <w:rStyle w:val="Fill-in"/>
              </w:rPr>
              <w:t xml:space="preserve">[Fill in: role]</w:t>
            </w:r>
          </w:p>
        </w:tc>
      </w:tr>
    </w:tbl>
    <w:p>
      <w:pPr>
        <w:pStyle w:val="BodyText"/>
      </w:pPr>
      <w:r>
        <w:t xml:space="preserve">Record each residual risk that needs action or acceptance in the risk register.</w:t>
      </w:r>
    </w:p>
    <w:bookmarkEnd w:id="22"/>
    <w:bookmarkStart w:id="23" w:name="conclusion"/>
    <w:p>
      <w:pPr>
        <w:pStyle w:val="Heading2"/>
      </w:pPr>
      <w:r>
        <w:t xml:space="preserve">11. Conclusion</w:t>
      </w:r>
    </w:p>
    <w:p>
      <w:pPr>
        <w:pStyle w:val="FirstParagraph"/>
      </w:pPr>
      <w:r>
        <w:rPr>
          <w:rStyle w:val="Fill-in"/>
        </w:rPr>
        <w:t xml:space="preserve">[Fill in: a summary of the privacy risks, whether they are acceptable after mitigation, and any conditions on going ahead]</w:t>
      </w:r>
    </w:p>
    <w:bookmarkEnd w:id="23"/>
    <w:bookmarkStart w:id="27" w:name="approval-publication-and-updates"/>
    <w:p>
      <w:pPr>
        <w:pStyle w:val="Heading2"/>
      </w:pPr>
      <w:r>
        <w:t xml:space="preserve">12. Approval, publication and updates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Name</w:t>
            </w:r>
          </w:p>
        </w:tc>
        <w:tc>
          <w:tcPr/>
          <w:p>
            <w:pPr>
              <w:pStyle w:val="Compact"/>
            </w:pPr>
            <w:r>
              <w:t xml:space="preserve">Decision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[System owner]</w:t>
            </w:r>
          </w:p>
        </w:tc>
        <w:tc>
          <w:tcPr/>
          <w:p>
            <w:pPr>
              <w:pStyle w:val="Compact"/>
            </w:pPr>
            <w:r>
              <w:rPr>
                <w:rStyle w:val="Fill-in"/>
              </w:rPr>
              <w:t xml:space="preserve">[Fill in: name]</w:t>
            </w:r>
          </w:p>
        </w:tc>
        <w:tc>
          <w:tcPr/>
          <w:p>
            <w:pPr>
              <w:pStyle w:val="Compact"/>
            </w:pPr>
            <w:r>
              <w:t xml:space="preserve">Prepared</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[Senior privacy official]</w:t>
            </w:r>
          </w:p>
        </w:tc>
        <w:tc>
          <w:tcPr/>
          <w:p>
            <w:pPr>
              <w:pStyle w:val="Compact"/>
            </w:pPr>
            <w:r>
              <w:rPr>
                <w:rStyle w:val="Fill-in"/>
              </w:rPr>
              <w:t xml:space="preserve">[Fill in: name]</w:t>
            </w:r>
          </w:p>
        </w:tc>
        <w:tc>
          <w:tcPr/>
          <w:p>
            <w:pPr>
              <w:pStyle w:val="Compact"/>
            </w:pPr>
            <w:r>
              <w:rPr>
                <w:rStyle w:val="Fill-in"/>
              </w:rPr>
              <w:t xml:space="preserve">[Fill in: approved or not approved]</w:t>
            </w:r>
          </w:p>
        </w:tc>
        <w:tc>
          <w:tcPr/>
          <w:p>
            <w:pPr>
              <w:pStyle w:val="Compact"/>
            </w:pPr>
          </w:p>
        </w:tc>
        <w:tc>
          <w:tcPr/>
          <w:p>
            <w:pPr>
              <w:pStyle w:val="Compact"/>
            </w:pPr>
            <w:r>
              <w:rPr>
                <w:rStyle w:val="Fill-in"/>
              </w:rPr>
              <w:t xml:space="preserve">[Fill in: date]</w:t>
            </w:r>
          </w:p>
        </w:tc>
      </w:tr>
    </w:tbl>
    <w:p>
      <w:pPr>
        <w:pStyle w:val="Compact"/>
        <w:numPr>
          <w:ilvl w:val="0"/>
          <w:numId w:val="1006"/>
        </w:numPr>
      </w:pPr>
      <w:r>
        <w:t xml:space="preserve">The</w:t>
      </w:r>
      <w:r>
        <w:t xml:space="preserve"> </w:t>
      </w:r>
      <w:r>
        <w:rPr>
          <w:rStyle w:val="Fill-in"/>
        </w:rPr>
        <w:t xml:space="preserve">[Senior privacy official]</w:t>
      </w:r>
      <w:r>
        <w:t xml:space="preserve"> </w:t>
      </w:r>
      <w:r>
        <w:t xml:space="preserve">reviews and approves this assessment before the system is developed or procured, or before the new collection begins (RA-8).</w:t>
      </w:r>
    </w:p>
    <w:p>
      <w:pPr>
        <w:pStyle w:val="Compact"/>
        <w:numPr>
          <w:ilvl w:val="0"/>
          <w:numId w:val="1006"/>
        </w:numPr>
      </w:pPr>
      <w:r>
        <w:t xml:space="preserve">The</w:t>
      </w:r>
      <w:r>
        <w:t xml:space="preserve"> </w:t>
      </w:r>
      <w:r>
        <w:rPr>
          <w:rStyle w:val="Fill-in"/>
        </w:rPr>
        <w:t xml:space="preserve">[System owner]</w:t>
      </w:r>
      <w:r>
        <w:t xml:space="preserve"> </w:t>
      </w:r>
      <w:r>
        <w:t xml:space="preserve">updates this assessment when a change to the system or the processing creates new privacy risks, found through</w:t>
      </w:r>
      <w:r>
        <w:t xml:space="preserve"> </w:t>
      </w:r>
      <w:r>
        <w:rPr>
          <w:rStyle w:val="Fill-in"/>
        </w:rPr>
        <w:t xml:space="preserve">[Fill in: mechanisms to be implemented for ensuring any changes in the processing of personally identifiable information are made in accordance with requirements. Typical: a privacy review of each proposed change through change control, with an updated privacy impact assessment (CM-3, CM-4, RA-8)]</w:t>
      </w:r>
      <w:r>
        <w:t xml:space="preserve"> </w:t>
      </w:r>
      <w:r>
        <w:t xml:space="preserve">(RA-8, PT-3d).</w:t>
      </w:r>
    </w:p>
    <w:p>
      <w:pPr>
        <w:pStyle w:val="Compact"/>
        <w:numPr>
          <w:ilvl w:val="0"/>
          <w:numId w:val="1006"/>
        </w:numPr>
      </w:pPr>
      <w:r>
        <w:t xml:space="preserve">The</w:t>
      </w:r>
      <w:r>
        <w:t xml:space="preserve"> </w:t>
      </w:r>
      <w:r>
        <w:rPr>
          <w:rStyle w:val="Fill-in"/>
        </w:rPr>
        <w:t xml:space="preserve">[System owner]</w:t>
      </w:r>
      <w:r>
        <w:t xml:space="preserve"> </w:t>
      </w:r>
      <w:r>
        <w:t xml:space="preserve">reviews this assessment at least annually, with the check of the relevance of the information under SI-18, and records the review and its date even when nothing has changed (RA-8, SI-18).</w:t>
      </w:r>
    </w:p>
    <w:p>
      <w:pPr>
        <w:pStyle w:val="Compact"/>
        <w:numPr>
          <w:ilvl w:val="0"/>
          <w:numId w:val="1006"/>
        </w:numPr>
      </w:pPr>
      <w:r>
        <w:t xml:space="preserve">A plain-language version is published on the organization’s privacy page,</w:t>
      </w:r>
      <w:r>
        <w:t xml:space="preserve"> </w:t>
      </w:r>
      <w:r>
        <w:rPr>
          <w:rStyle w:val="Fill-in"/>
        </w:rPr>
        <w:t xml:space="preserve">[Fill in: or the reason it is not]</w:t>
      </w:r>
      <w:r>
        <w:t xml:space="preserve">, with anything that would reveal security weaknesses removed (PM-20b).</w:t>
      </w:r>
    </w:p>
    <w:bookmarkStart w:id="26" w:name="federal-systems"/>
    <w:p>
      <w:pPr>
        <w:pStyle w:val="Heading3"/>
      </w:pPr>
      <w:r>
        <w:t xml:space="preserve">Federal systems</w:t>
      </w:r>
    </w:p>
    <w:p>
      <w:pPr>
        <w:pStyle w:val="FirstParagraph"/>
      </w:pPr>
      <w:hyperlink r:id="rId24">
        <w:r>
          <w:rPr>
            <w:rStyle w:val="Hyperlink"/>
          </w:rPr>
          <w:t xml:space="preserve">Section 208(b) of the E-Government Act of 2002</w:t>
        </w:r>
      </w:hyperlink>
      <w:r>
        <w:t xml:space="preserve"> </w:t>
      </w:r>
      <w:r>
        <w:t xml:space="preserve">(Pub. L. 107-347) requires an agency to conduct a PIA before developing or procuring information technology that collects, maintains or disseminates information in identifiable form, and before initiating a new collection of such information that uses information technology and poses identical questions to, or imposes identical reporting requirements on, 10 or more persons other than agencies, instrumentalities or employees of the Federal Government. The agency ensures the PIA is reviewed by the Chief Information Officer, or an equivalent official the agency head names, and, if practicable, makes it publicly available through its website, the Federal Register or other means; publication may be modified or waived for security reasons or to protect classified, sensitive or private information in it. Agencies give OMB a copy of the PIA for each system for which funding is requested. Under section 208(b)(2)(B)(ii), a PIA addresses what information is to be collected, why, the agency’s intended use of it, with whom it will be shared, what notice or opportunities for consent individuals have, how it will be secured, and whether a system of records is being created under the Privacy Act.</w:t>
      </w:r>
    </w:p>
    <w:p>
      <w:pPr>
        <w:pStyle w:val="BodyText"/>
      </w:pPr>
      <w:hyperlink r:id="rId25">
        <w:r>
          <w:rPr>
            <w:rStyle w:val="Hyperlink"/>
          </w:rPr>
          <w:t xml:space="preserve">OMB Circular A-130</w:t>
        </w:r>
      </w:hyperlink>
      <w:r>
        <w:t xml:space="preserve"> </w:t>
      </w:r>
      <w:r>
        <w:t xml:space="preserve">(July 28, 2016), Appendix II, section 5.e, requires a PIA when an agency develops, procures or uses information technology to create, collect, use, process, store, maintain, disseminate, disclose or dispose of personally identifiable information, absent an exception under section 208(b). It calls the PIA a living document, updated whenever changes to the technology, the agency’s practices or other factors alter the privacy risks, and requires every PIA to be written in plain language and posted on the agency’s website unless that would raise security concerns or reveal classified or sensitive information. The Senior Agency Official for Privacy works with program managers, system owners, IT experts, security officials and counsel to conduct it. As of September 2026.</w:t>
      </w:r>
    </w:p>
    <w:p>
      <w:pPr>
        <w:pStyle w:val="BodyText"/>
      </w:pPr>
      <w:r>
        <w:t xml:space="preserve">Add to section 4 the statute or executive order that authorizes the collection, and add this table after section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Answer</w:t>
            </w:r>
          </w:p>
        </w:tc>
      </w:tr>
      <w:tr>
        <w:tc>
          <w:tcPr/>
          <w:p>
            <w:pPr>
              <w:pStyle w:val="Compact"/>
            </w:pPr>
            <w:r>
              <w:t xml:space="preserve">Is a system of records being created or changed under 5 U.S.C. § 552a?</w:t>
            </w:r>
          </w:p>
        </w:tc>
        <w:tc>
          <w:tcPr/>
          <w:p>
            <w:pPr>
              <w:pStyle w:val="Compact"/>
            </w:pPr>
            <w:r>
              <w:rPr>
                <w:rStyle w:val="Fill-in"/>
              </w:rPr>
              <w:t xml:space="preserve">[Fill in: yes or no]</w:t>
            </w:r>
          </w:p>
        </w:tc>
      </w:tr>
      <w:tr>
        <w:tc>
          <w:tcPr/>
          <w:p>
            <w:pPr>
              <w:pStyle w:val="Compact"/>
            </w:pPr>
            <w:r>
              <w:t xml:space="preserve">System of records notice</w:t>
            </w:r>
          </w:p>
        </w:tc>
        <w:tc>
          <w:tcPr/>
          <w:p>
            <w:pPr>
              <w:pStyle w:val="Compact"/>
            </w:pPr>
            <w:r>
              <w:rPr>
                <w:rStyle w:val="Fill-in"/>
              </w:rPr>
              <w:t xml:space="preserve">[Fill in: name, number and Federal Register citation, or the date a new or revised notice will be published]</w:t>
            </w:r>
          </w:p>
        </w:tc>
      </w:tr>
      <w:tr>
        <w:tc>
          <w:tcPr/>
          <w:p>
            <w:pPr>
              <w:pStyle w:val="Compact"/>
            </w:pPr>
            <w:r>
              <w:t xml:space="preserve">Is the system part of a matching program under 5 U.S.C. § 552a(a)(8)? (PT-8)</w:t>
            </w:r>
          </w:p>
        </w:tc>
        <w:tc>
          <w:tcPr/>
          <w:p>
            <w:pPr>
              <w:pStyle w:val="Compact"/>
            </w:pPr>
            <w:r>
              <w:rPr>
                <w:rStyle w:val="Fill-in"/>
              </w:rPr>
              <w:t xml:space="preserve">[Fill in: no, or the matching program, its computer matching agreement and expiry date, and its Federal Register matching notice]</w:t>
            </w:r>
          </w:p>
        </w:tc>
      </w:tr>
      <w:tr>
        <w:tc>
          <w:tcPr/>
          <w:p>
            <w:pPr>
              <w:pStyle w:val="Compact"/>
            </w:pPr>
            <w:r>
              <w:t xml:space="preserve">Privacy Act statement on each collection form</w:t>
            </w:r>
          </w:p>
        </w:tc>
        <w:tc>
          <w:tcPr/>
          <w:p>
            <w:pPr>
              <w:pStyle w:val="Compact"/>
            </w:pPr>
            <w:r>
              <w:rPr>
                <w:rStyle w:val="Fill-in"/>
              </w:rPr>
              <w:t xml:space="preserve">[Fill in: yes, not needed, or planned]</w:t>
            </w:r>
          </w:p>
        </w:tc>
      </w:tr>
      <w:tr>
        <w:tc>
          <w:tcPr/>
          <w:p>
            <w:pPr>
              <w:pStyle w:val="Compact"/>
            </w:pPr>
            <w:r>
              <w:t xml:space="preserve">Paperwork Reduction Act information collection</w:t>
            </w:r>
          </w:p>
        </w:tc>
        <w:tc>
          <w:tcPr/>
          <w:p>
            <w:pPr>
              <w:pStyle w:val="Compact"/>
            </w:pPr>
            <w:r>
              <w:rPr>
                <w:rStyle w:val="Fill-in"/>
              </w:rPr>
              <w:t xml:space="preserve">[Fill in: the OMB control number, or not applicable]</w:t>
            </w:r>
          </w:p>
        </w:tc>
      </w:tr>
    </w:tbl>
    <w:p>
      <w:pPr>
        <w:pStyle w:val="Compact"/>
        <w:numPr>
          <w:ilvl w:val="0"/>
          <w:numId w:val="1007"/>
        </w:numPr>
      </w:pPr>
      <w:r>
        <w:t xml:space="preserve">The</w:t>
      </w:r>
      <w:r>
        <w:t xml:space="preserve"> </w:t>
      </w:r>
      <w:r>
        <w:rPr>
          <w:rStyle w:val="Fill-in"/>
        </w:rPr>
        <w:t xml:space="preserve">[System owner]</w:t>
      </w:r>
      <w:r>
        <w:t xml:space="preserve"> </w:t>
      </w:r>
      <w:r>
        <w:t xml:space="preserve">shall have a PIA conducted, and reviewed by the Chief Information Officer or the equivalent official the agency head names, whenever section 208(b) of the E-Government Act requires one. (RA-8)</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make each PIA publicly available, in plain language, on the agency’s website unless doing so would raise security concerns or reveal classified or sensitive information, as OMB Circular A-130, Appendix II, section 5.e requires. (RA-8)</w:t>
      </w:r>
    </w:p>
    <w:p>
      <w:pPr>
        <w:pStyle w:val="Compact"/>
        <w:numPr>
          <w:ilvl w:val="0"/>
          <w:numId w:val="1007"/>
        </w:numPr>
      </w:pPr>
      <w:r>
        <w:t xml:space="preserve">Each PIA shall state whether a system of records is being created under the Privacy Act. (RA-8)</w:t>
      </w:r>
    </w:p>
    <w:bookmarkEnd w:id="26"/>
    <w:bookmarkEnd w:id="27"/>
    <w:bookmarkEnd w:id="2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Privacy Impact Assessment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kston83.github.io/nist-guide/templates/forms/privacy-notice/" TargetMode="External" /><Relationship Type="http://schemas.openxmlformats.org/officeDocument/2006/relationships/hyperlink" Id="rId12" Target="https://kston83.github.io/nist-guide/templates/forms/risk-register/" TargetMode="External" /><Relationship Type="http://schemas.openxmlformats.org/officeDocument/2006/relationships/hyperlink" Id="rId9" Target="https://kston83.github.io/nist-guide/templates/reports/privacy-impact-assessment/" TargetMode="External" /><Relationship Type="http://schemas.openxmlformats.org/officeDocument/2006/relationships/hyperlink" Id="rId24" Target="https://www.congress.gov/107/plaws/publ347/PLAW-107publ347.htm" TargetMode="External" /><Relationship Type="http://schemas.openxmlformats.org/officeDocument/2006/relationships/hyperlink" Id="rId2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kston83.github.io/nist-guide/templates/forms/privacy-notice/" TargetMode="External" /><Relationship Type="http://schemas.openxmlformats.org/officeDocument/2006/relationships/hyperlink" Id="rId12" Target="https://kston83.github.io/nist-guide/templates/forms/risk-register/" TargetMode="External" /><Relationship Type="http://schemas.openxmlformats.org/officeDocument/2006/relationships/hyperlink" Id="rId9" Target="https://kston83.github.io/nist-guide/templates/reports/privacy-impact-assessment/" TargetMode="External" /><Relationship Type="http://schemas.openxmlformats.org/officeDocument/2006/relationships/hyperlink" Id="rId24" Target="https://www.congress.gov/107/plaws/publ347/PLAW-107publ347.htm" TargetMode="External" /><Relationship Type="http://schemas.openxmlformats.org/officeDocument/2006/relationships/hyperlink" Id="rId2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