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risk-assessment-report"/>
    <w:p>
      <w:pPr>
        <w:pStyle w:val="Heading1"/>
      </w:pPr>
      <w:r>
        <w:t xml:space="preserve">Risk Assessment Report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Ready to adopt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https://kston83.github.io/nist-guide/templates/reports/risk-assessment-report/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System name</w:t>
            </w:r>
          </w:p>
        </w:tc>
        <w:tc>
          <w:tcPr/>
          <w:p>
            <w:pPr>
              <w:pStyle w:val="Compact"/>
            </w:pPr>
            <w:r>
              <w:t xml:space="preserve">System identifier</w:t>
            </w:r>
          </w:p>
        </w:tc>
        <w:tc>
          <w:tcPr/>
          <w:p>
            <w:pPr>
              <w:pStyle w:val="Compact"/>
            </w:pPr>
            <w:r>
              <w:t xml:space="preserve">Report version</w:t>
            </w:r>
          </w:p>
        </w:tc>
        <w:tc>
          <w:tcPr/>
          <w:p>
            <w:pPr>
              <w:pStyle w:val="Compact"/>
            </w:pPr>
            <w:r>
              <w:t xml:space="preserve">Assessment date</w:t>
            </w:r>
          </w:p>
        </w:tc>
        <w:tc>
          <w:tcPr/>
          <w:p>
            <w:pPr>
              <w:pStyle w:val="Compact"/>
            </w:pPr>
            <w:r>
              <w:t xml:space="preserve">Prepared by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system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unique system identifier]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version]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names and titles of the assessment team]</w:t>
            </w:r>
          </w:p>
        </w:tc>
      </w:tr>
    </w:tbl>
    <w:bookmarkStart w:id="11" w:name="executive-summary"/>
    <w:p>
      <w:pPr>
        <w:pStyle w:val="Heading2"/>
      </w:pPr>
      <w:r>
        <w:t xml:space="preserve">1. Executive summary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System and purpose of the assessment:</w:t>
      </w:r>
      <w:r>
        <w:t xml:space="preserve"> </w:t>
      </w:r>
      <w:r>
        <w:rPr>
          <w:rStyle w:val="Fill-in"/>
        </w:rPr>
        <w:t xml:space="preserve">[Fill in: the system, its security categorization, and why this assessment was done, for example initial authorization, a significant change or the scheduled update]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Overall result:</w:t>
      </w:r>
      <w:r>
        <w:t xml:space="preserve"> </w:t>
      </w:r>
      <w:r>
        <w:rPr>
          <w:rStyle w:val="Fill-in"/>
        </w:rPr>
        <w:t xml:space="preserve">[Fill in: the number of risks at each level, and the most significant risks in one or two sentences each]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Recommended actions:</w:t>
      </w:r>
      <w:r>
        <w:t xml:space="preserve"> </w:t>
      </w:r>
      <w:r>
        <w:rPr>
          <w:rStyle w:val="Fill-in"/>
        </w:rPr>
        <w:t xml:space="preserve">[Fill in: the main risk responses recommended, and any risk above the organization’s tolerance]</w:t>
      </w:r>
    </w:p>
    <w:bookmarkEnd w:id="11"/>
    <w:bookmarkStart w:id="12" w:name="purpose-and-scope"/>
    <w:p>
      <w:pPr>
        <w:pStyle w:val="Heading2"/>
      </w:pPr>
      <w:r>
        <w:t xml:space="preserve">2. Purpose and scope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Description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Purpose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the decision this assessment supports]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Scope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the system boundary, components, locations and external services covered, and anything excluded]</w:t>
            </w:r>
          </w:p>
        </w:tc>
      </w:tr>
      <w:tr>
        <w:tc>
          <w:tcPr/>
          <w:p>
            <w:pPr>
              <w:pStyle w:val="Compact"/>
            </w:pPr>
            <w:r>
              <w:t xml:space="preserve">Time frame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the period for which the results are expected to be valid]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categorization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low, moderate or high, from the security categorization worksheet]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Privacy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whether the system processes personally identifiable information; if so, the privacy impact assessment it draws on]</w:t>
            </w:r>
          </w:p>
        </w:tc>
      </w:tr>
    </w:tbl>
    <w:bookmarkEnd w:id="12"/>
    <w:bookmarkStart w:id="13" w:name="X15de904e5ce0caab652b0b6aab975387ae1698b"/>
    <w:p>
      <w:pPr>
        <w:pStyle w:val="Heading2"/>
      </w:pPr>
      <w:r>
        <w:t xml:space="preserve">3. Assumptions, constraints and risk tolerance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Assumptions:</w:t>
      </w:r>
      <w:r>
        <w:t xml:space="preserve"> </w:t>
      </w:r>
      <w:r>
        <w:rPr>
          <w:rStyle w:val="Fill-in"/>
        </w:rPr>
        <w:t xml:space="preserve">[Fill in: for example that inherited common controls operate as their providers describe]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Constraints:</w:t>
      </w:r>
      <w:r>
        <w:t xml:space="preserve"> </w:t>
      </w:r>
      <w:r>
        <w:rPr>
          <w:rStyle w:val="Fill-in"/>
        </w:rPr>
        <w:t xml:space="preserve">[Fill in: for example time, access or information not available to the assessors]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Risk tolerance:</w:t>
      </w:r>
      <w:r>
        <w:t xml:space="preserve"> </w:t>
      </w:r>
      <w:r>
        <w:t xml:space="preserve">the tolerance and approval levels in section 3.3 of the organization’s risk management strategy apply, together with</w:t>
      </w:r>
      <w:r>
        <w:t xml:space="preserve"> </w:t>
      </w:r>
      <w:r>
        <w:rPr>
          <w:rStyle w:val="Fill-in"/>
        </w:rPr>
        <w:t xml:space="preserve">[Fill in: any system-specific tolerance statements, or</w:t>
      </w:r>
      <w:r>
        <w:rPr>
          <w:rStyle w:val="Fill-in"/>
        </w:rPr>
        <w:t xml:space="preserve"> </w:t>
      </w:r>
      <w:r>
        <w:rPr>
          <w:rStyle w:val="Fill-in"/>
        </w:rPr>
        <w:t xml:space="preserve">“none”</w:t>
      </w:r>
      <w:r>
        <w:rPr>
          <w:rStyle w:val="Fill-in"/>
        </w:rPr>
        <w:t xml:space="preserve">]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Organization and mission inputs:</w:t>
      </w:r>
      <w:r>
        <w:t xml:space="preserve"> </w:t>
      </w:r>
      <w:r>
        <w:rPr>
          <w:rStyle w:val="Fill-in"/>
        </w:rPr>
        <w:t xml:space="preserve">[Fill in: the organization-level and mission or business process risk decisions this assessment builds on (RA-3b), for example the risk framing and the organization’s threat information]</w:t>
      </w:r>
      <w:r>
        <w:t xml:space="preserve">.</w:t>
      </w:r>
    </w:p>
    <w:bookmarkEnd w:id="13"/>
    <w:bookmarkStart w:id="14" w:name="risk-model-and-approach"/>
    <w:p>
      <w:pPr>
        <w:pStyle w:val="Heading2"/>
      </w:pPr>
      <w:r>
        <w:t xml:space="preserve">4. Risk model and approach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Approach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Risk model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SP 800-30 Rev. 1: threat sources, threat events, vulnerabilities and predisposing conditions, likelihood and impact]</w:t>
            </w:r>
          </w:p>
        </w:tc>
      </w:tr>
      <w:tr>
        <w:tc>
          <w:tcPr/>
          <w:p>
            <w:pPr>
              <w:pStyle w:val="Compact"/>
            </w:pPr>
            <w:r>
              <w:t xml:space="preserve">Assessment approach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qualitative, semi-quantitative or quantitative]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Analysis approach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threat-oriented, asset or impact-oriented, or vulnerability-oriented]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Scales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the likelihood, impact and risk scales from the risk management strategy]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Information sources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control assessment results, vulnerability scans, penetration tests, threat intelligence, incident history, interviews]</w:t>
            </w:r>
          </w:p>
        </w:tc>
      </w:tr>
    </w:tbl>
    <w:bookmarkEnd w:id="14"/>
    <w:bookmarkStart w:id="17" w:name="results"/>
    <w:p>
      <w:pPr>
        <w:pStyle w:val="Heading2"/>
      </w:pPr>
      <w:r>
        <w:t xml:space="preserve">5. Results</w:t>
      </w:r>
    </w:p>
    <w:p>
      <w:pPr>
        <w:pStyle w:val="FirstParagraph"/>
      </w:pPr>
      <w:r>
        <w:t xml:space="preserve">The assessment identified threats to and vulnerabilities in the system (RA-3a.1), and determined the likelihood and magnitude of harm to the organization, its information and related information (RA-3a.2) and, where the system processes personally identifiable information, the likelihood and impact of adverse effects on individuals (RA-3a.3).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Threat source and event</w:t>
            </w:r>
          </w:p>
        </w:tc>
        <w:tc>
          <w:tcPr/>
          <w:p>
            <w:pPr>
              <w:pStyle w:val="Compact"/>
            </w:pPr>
            <w:r>
              <w:t xml:space="preserve">Vulnerability or predisposing condition</w:t>
            </w:r>
          </w:p>
        </w:tc>
        <w:tc>
          <w:tcPr/>
          <w:p>
            <w:pPr>
              <w:pStyle w:val="Compact"/>
            </w:pPr>
            <w:r>
              <w:t xml:space="preserve">Likelihood</w:t>
            </w:r>
          </w:p>
        </w:tc>
        <w:tc>
          <w:tcPr/>
          <w:p>
            <w:pPr>
              <w:pStyle w:val="Compact"/>
            </w:pPr>
            <w:r>
              <w:t xml:space="preserve">Impact</w:t>
            </w:r>
          </w:p>
        </w:tc>
        <w:tc>
          <w:tcPr/>
          <w:p>
            <w:pPr>
              <w:pStyle w:val="Compact"/>
            </w:pPr>
            <w:r>
              <w:t xml:space="preserve">Risk level</w:t>
            </w:r>
          </w:p>
        </w:tc>
        <w:tc>
          <w:tcPr/>
          <w:p>
            <w:pPr>
              <w:pStyle w:val="Compact"/>
            </w:pPr>
            <w:r>
              <w:t xml:space="preserve">Recommended response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ID from the risk register]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threat source and event]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vulnerability or condition]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level]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level]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level]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accept, avoid, mitigate, share or transfer, with the action]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ID]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threat source and event]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vulnerability or condition]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level]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level]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level]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response]</w:t>
            </w:r>
          </w:p>
        </w:tc>
      </w:tr>
    </w:tbl>
    <w:bookmarkStart w:id="15" w:name="risks-to-individuals"/>
    <w:p>
      <w:pPr>
        <w:pStyle w:val="Heading3"/>
      </w:pPr>
      <w:r>
        <w:t xml:space="preserve">5.1 Risks to individuals</w:t>
      </w:r>
    </w:p>
    <w:p>
      <w:pPr>
        <w:pStyle w:val="FirstParagraph"/>
      </w:pPr>
      <w:r>
        <w:rPr>
          <w:rStyle w:val="Fill-in"/>
        </w:rPr>
        <w:t xml:space="preserve">[Fill in: the privacy risks found, with likelihood, impact and recommended response, or</w:t>
      </w:r>
      <w:r>
        <w:rPr>
          <w:rStyle w:val="Fill-in"/>
        </w:rPr>
        <w:t xml:space="preserve"> </w:t>
      </w:r>
      <w:r>
        <w:rPr>
          <w:rStyle w:val="Fill-in"/>
        </w:rPr>
        <w:t xml:space="preserve">“the system does not process personally identifiable information”</w:t>
      </w:r>
      <w:r>
        <w:rPr>
          <w:rStyle w:val="Fill-in"/>
        </w:rPr>
        <w:t xml:space="preserve">]</w:t>
      </w:r>
      <w:r>
        <w:t xml:space="preserve"> </w:t>
      </w:r>
      <w:r>
        <w:t xml:space="preserve">(RA-3a.3)</w:t>
      </w:r>
    </w:p>
    <w:bookmarkEnd w:id="15"/>
    <w:bookmarkStart w:id="16" w:name="supply-chain-risks"/>
    <w:p>
      <w:pPr>
        <w:pStyle w:val="Heading3"/>
      </w:pPr>
      <w:r>
        <w:t xml:space="preserve">5.2 Supply chain risks</w:t>
      </w:r>
    </w:p>
    <w:p>
      <w:pPr>
        <w:pStyle w:val="FirstParagraph"/>
      </w:pPr>
      <w:r>
        <w:t xml:space="preserve">Supply chain risks were assessed for</w:t>
      </w:r>
      <w:r>
        <w:t xml:space="preserve"> </w:t>
      </w:r>
      <w:r>
        <w:rPr>
          <w:rStyle w:val="Fill-in"/>
        </w:rPr>
        <w:t xml:space="preserve">[Fill in: systems, system components, and system services to assess supply chain risks. Typical: each system, the components and services the criticality analysis (RA-9) identifies as critical, and the external services the system depends on]</w:t>
      </w:r>
      <w:r>
        <w:t xml:space="preserve"> </w:t>
      </w:r>
      <w:r>
        <w:t xml:space="preserve">(RA-3(1)(a)).</w:t>
      </w:r>
      <w:r>
        <w:t xml:space="preserve"> </w:t>
      </w:r>
      <w:r>
        <w:rPr>
          <w:rStyle w:val="Fill-in"/>
        </w:rPr>
        <w:t xml:space="preserve">[Fill in: the suppliers, products and services considered, the risks found and the recommended responses]</w:t>
      </w:r>
    </w:p>
    <w:bookmarkEnd w:id="16"/>
    <w:bookmarkEnd w:id="17"/>
    <w:bookmarkStart w:id="18" w:name="documentation-review-and-distribution"/>
    <w:p>
      <w:pPr>
        <w:pStyle w:val="Heading2"/>
      </w:pPr>
      <w:r>
        <w:t xml:space="preserve">6. Documentation, review and distribution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keep this report as the record of the risk assessment results. (RA-3c)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the results</w:t>
      </w:r>
      <w:r>
        <w:t xml:space="preserve"> </w:t>
      </w:r>
      <w:r>
        <w:rPr>
          <w:rStyle w:val="Fill-in"/>
        </w:rPr>
        <w:t xml:space="preserve">[Fill in: the frequency to review risk assessment results. Typical: annually]</w:t>
      </w:r>
      <w:r>
        <w:t xml:space="preserve">. (RA-3d)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share the results with</w:t>
      </w:r>
      <w:r>
        <w:t xml:space="preserve"> </w:t>
      </w:r>
      <w:r>
        <w:rPr>
          <w:rStyle w:val="Fill-in"/>
        </w:rPr>
        <w:t xml:space="preserve">[Fill in: personnel or roles to whom risk assessment results are to be disseminated. Typical: the authorizing official, the system owner and the Chief Information Security Officer]</w:t>
      </w:r>
      <w:r>
        <w:t xml:space="preserve">. (RA-3e)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update the assessment</w:t>
      </w:r>
      <w:r>
        <w:t xml:space="preserve"> </w:t>
      </w:r>
      <w:r>
        <w:rPr>
          <w:rStyle w:val="Fill-in"/>
        </w:rPr>
        <w:t xml:space="preserve">[Fill in: the frequency to update the risk assessment. Typical: at least every three years]</w:t>
      </w:r>
      <w:r>
        <w:t xml:space="preserve">, and whenever there are significant changes to the system, its environment of operation, or other conditions that may affect its security or privacy state. (RA-3f)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Reviewed or updated by</w:t>
            </w:r>
          </w:p>
        </w:tc>
        <w:tc>
          <w:tcPr/>
          <w:p>
            <w:pPr>
              <w:pStyle w:val="Compact"/>
            </w:pPr>
            <w:r>
              <w:t xml:space="preserve">Summary of change</w:t>
            </w:r>
          </w:p>
        </w:tc>
        <w:tc>
          <w:tcPr/>
          <w:p>
            <w:pPr>
              <w:pStyle w:val="Compact"/>
            </w:pPr>
            <w:r>
              <w:t xml:space="preserve">Shared with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version]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title]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summary]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recipients]</w:t>
            </w:r>
          </w:p>
        </w:tc>
      </w:tr>
    </w:tbl>
    <w:bookmarkEnd w:id="18"/>
    <w:bookmarkStart w:id="19" w:name="appendix-a.-assessment-team-and-sources"/>
    <w:p>
      <w:pPr>
        <w:pStyle w:val="Heading2"/>
      </w:pPr>
      <w:r>
        <w:t xml:space="preserve">Appendix A. Assessment team and sources</w:t>
      </w:r>
    </w:p>
    <w:p>
      <w:pPr>
        <w:pStyle w:val="FirstParagraph"/>
      </w:pPr>
      <w:r>
        <w:rPr>
          <w:rStyle w:val="Fill-in"/>
        </w:rPr>
        <w:t xml:space="preserve">[Fill in: the assessment team members and their roles, and the documents, tools and people consulted]</w:t>
      </w:r>
    </w:p>
    <w:bookmarkEnd w:id="19"/>
    <w:bookmarkStart w:id="20" w:name="appendix-b.-supporting-data"/>
    <w:p>
      <w:pPr>
        <w:pStyle w:val="Heading2"/>
      </w:pPr>
      <w:r>
        <w:t xml:space="preserve">Appendix B. Supporting data</w:t>
      </w:r>
    </w:p>
    <w:p>
      <w:pPr>
        <w:pStyle w:val="FirstParagraph"/>
      </w:pPr>
      <w:r>
        <w:rPr>
          <w:rStyle w:val="Fill-in"/>
        </w:rPr>
        <w:t xml:space="preserve">[Fill in: the detailed threat, vulnerability, likelihood and impact analysis behind section 5, or a reference to where it is kept]</w:t>
      </w:r>
    </w:p>
    <w:bookmarkEnd w:id="20"/>
    <w:bookmarkEnd w:id="21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Risk Assessment Report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reports/risk-assessment-repor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reports/risk-assessment-repor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