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acquisition-security-requirements"/>
    <w:p>
      <w:pPr>
        <w:pStyle w:val="Heading1"/>
      </w:pPr>
      <w:r>
        <w:t xml:space="preserve">Acquisition Security Requirements</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https://kston83.github.io/nist-guide/templates/standards/acquisition-security-requirements/</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system and services acquisition policy says every contract for a system, component or service carries security and privacy requirements; this standard is the standard contract language that policy refers to, and the checklist the security team uses to review each solicitation. Keep its values in step with the SA-4, SA-10, SA-11 and SA-15 statements in the policy, and section 4.9 with the PS-7 statements of the personnel security policy, since assessors compare them. NIST’s SA-4 discussion derives the functional requirements from the high-level requirements set under SA-2, and points to</w:t>
      </w:r>
      <w:r>
        <w:t xml:space="preserve"> </w:t>
      </w:r>
      <w:hyperlink r:id="rId11">
        <w:r>
          <w:rPr>
            <w:rStyle w:val="Hyperlink"/>
          </w:rPr>
          <w:t xml:space="preserve">NIST SP 800-160 Vol. 1 Rev. 1</w:t>
        </w:r>
      </w:hyperlink>
      <w:r>
        <w:t xml:space="preserve">, Engineering Trustworthy Secure Systems (November 2022, current as of September 2026), for requirements engineering. The procurement office turns section 4 into clauses in its own contract format; the wording here states what each clause must require, not the legal text. Have legal counsel review the clauses before first use.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3" w:name="purpose-and-scope"/>
    <w:p>
      <w:pPr>
        <w:pStyle w:val="Heading2"/>
      </w:pPr>
      <w:r>
        <w:t xml:space="preserve">1. Purpose and scope</w:t>
      </w:r>
    </w:p>
    <w:p>
      <w:pPr>
        <w:pStyle w:val="FirstParagraph"/>
      </w:pPr>
      <w:r>
        <w:t xml:space="preserve">This standard sets the minimum security and privacy requirements that</w:t>
      </w:r>
      <w:r>
        <w:t xml:space="preserve"> </w:t>
      </w:r>
      <w:r>
        <w:rPr>
          <w:rStyle w:val="Fill-in"/>
        </w:rPr>
        <w:t xml:space="preserve">[Organization name]</w:t>
      </w:r>
      <w:r>
        <w:t xml:space="preserve"> </w:t>
      </w:r>
      <w:r>
        <w:t xml:space="preserve">includes in the acquisition contract for each system, system component or system service, and how each solicitation is reviewed for them. It applies to new contracts, renewals, task orders, modifications that change what is delivered, and purchases made by purchase card or by accepting a supplier’s online terms. It covers hardware, software, cloud and other external services, and development done under contract. External services also get the</w:t>
      </w:r>
      <w:r>
        <w:t xml:space="preserve"> </w:t>
      </w:r>
      <w:hyperlink r:id="rId12">
        <w:r>
          <w:rPr>
            <w:rStyle w:val="Hyperlink"/>
          </w:rPr>
          <w:t xml:space="preserve">external service review</w:t>
        </w:r>
      </w:hyperlink>
      <w:r>
        <w:t xml:space="preserve"> </w:t>
      </w:r>
      <w:r>
        <w:t xml:space="preserve">before use (SA-9).</w:t>
      </w:r>
    </w:p>
    <w:bookmarkEnd w:id="13"/>
    <w:bookmarkStart w:id="14"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approves the standard security language; reviews each solicitation for a system, component or service before it is issued; approves deviations</w:t>
            </w:r>
          </w:p>
        </w:tc>
      </w:tr>
      <w:tr>
        <w:tc>
          <w:tcPr/>
          <w:p>
            <w:pPr>
              <w:pStyle w:val="Compact"/>
            </w:pPr>
            <w:r>
              <w:rPr>
                <w:rStyle w:val="Fill-in"/>
              </w:rPr>
              <w:t xml:space="preserve">[Senior privacy official]</w:t>
            </w:r>
          </w:p>
        </w:tc>
        <w:tc>
          <w:tcPr/>
          <w:p>
            <w:pPr>
              <w:pStyle w:val="Compact"/>
            </w:pPr>
            <w:r>
              <w:t xml:space="preserve">Approves the standard privacy language; reviews each solicitation for a system that processes personally identifiable information</w:t>
            </w:r>
          </w:p>
        </w:tc>
      </w:tr>
      <w:tr>
        <w:tc>
          <w:tcPr/>
          <w:p>
            <w:pPr>
              <w:pStyle w:val="Compact"/>
            </w:pPr>
            <w:r>
              <w:rPr>
                <w:rStyle w:val="Fill-in"/>
              </w:rPr>
              <w:t xml:space="preserve">[Fill in: procurement office, for example the contracting office]</w:t>
            </w:r>
          </w:p>
        </w:tc>
        <w:tc>
          <w:tcPr/>
          <w:p>
            <w:pPr>
              <w:pStyle w:val="Compact"/>
            </w:pPr>
            <w:r>
              <w:t xml:space="preserve">Keeps the approved clauses in the contract library; routes each solicitation for review; does not issue or award without it</w:t>
            </w:r>
          </w:p>
        </w:tc>
      </w:tr>
      <w:tr>
        <w:tc>
          <w:tcPr/>
          <w:p>
            <w:pPr>
              <w:pStyle w:val="Compact"/>
            </w:pPr>
            <w:r>
              <w:rPr>
                <w:rStyle w:val="Fill-in"/>
              </w:rPr>
              <w:t xml:space="preserve">[System owner]</w:t>
            </w:r>
          </w:p>
        </w:tc>
        <w:tc>
          <w:tcPr/>
          <w:p>
            <w:pPr>
              <w:pStyle w:val="Compact"/>
            </w:pPr>
            <w:r>
              <w:t xml:space="preserve">Adds the system-specific requirements in section 3; confirms deliverables meet the acceptance criteria before the organization accepts them</w:t>
            </w:r>
          </w:p>
        </w:tc>
      </w:tr>
    </w:tbl>
    <w:bookmarkEnd w:id="14"/>
    <w:bookmarkStart w:id="15" w:name="X4dd053f119f61e8ac2a2173463d890d5fff0ec7"/>
    <w:p>
      <w:pPr>
        <w:pStyle w:val="Heading2"/>
      </w:pPr>
      <w:r>
        <w:t xml:space="preserve">3. Putting the requirements into each contract</w:t>
      </w:r>
    </w:p>
    <w:p>
      <w:pPr>
        <w:pStyle w:val="Compact"/>
        <w:numPr>
          <w:ilvl w:val="0"/>
          <w:numId w:val="1001"/>
        </w:numPr>
      </w:pPr>
      <w:r>
        <w:t xml:space="preserve">The</w:t>
      </w:r>
      <w:r>
        <w:t xml:space="preserve"> </w:t>
      </w:r>
      <w:r>
        <w:rPr>
          <w:rStyle w:val="Fill-in"/>
        </w:rPr>
        <w:t xml:space="preserve">[System owner]</w:t>
      </w:r>
      <w:r>
        <w:t xml:space="preserve"> </w:t>
      </w:r>
      <w:r>
        <w:t xml:space="preserve">shall include the requirements in section 4,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1"/>
        </w:numPr>
      </w:pPr>
      <w:r>
        <w:t xml:space="preserve">The system-specific requirements shall name the controls from the system’s baseline that the supplier implements, with the parameter values the supplier must meet, and the tests the organization will run before acceptance. (SA-4d, SA-4i)</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against the checklist in section 5 before it is issued. (SA-4)</w:t>
      </w:r>
    </w:p>
    <w:p>
      <w:pPr>
        <w:pStyle w:val="Compact"/>
        <w:numPr>
          <w:ilvl w:val="0"/>
          <w:numId w:val="1001"/>
        </w:numPr>
      </w:pPr>
      <w:r>
        <w:t xml:space="preserve">The</w:t>
      </w:r>
      <w:r>
        <w:t xml:space="preserve"> </w:t>
      </w:r>
      <w:r>
        <w:rPr>
          <w:rStyle w:val="Fill-in"/>
        </w:rPr>
        <w:t xml:space="preserve">[Senior privacy official]</w:t>
      </w:r>
      <w:r>
        <w:t xml:space="preserve"> </w:t>
      </w:r>
      <w:r>
        <w:t xml:space="preserve">shall review each solicitation for a system that processes personally identifiable information before it is issued. (SA-4)</w:t>
      </w:r>
    </w:p>
    <w:p>
      <w:pPr>
        <w:pStyle w:val="Compact"/>
        <w:numPr>
          <w:ilvl w:val="0"/>
          <w:numId w:val="1001"/>
        </w:numPr>
      </w:pPr>
      <w:r>
        <w:t xml:space="preserve">A purchase card buy, a no-cost service or a supplier’s online terms shall get the same review before use, scaled to what is bought. (SA-4)</w:t>
      </w:r>
    </w:p>
    <w:p>
      <w:pPr>
        <w:pStyle w:val="Compact"/>
        <w:numPr>
          <w:ilvl w:val="0"/>
          <w:numId w:val="1001"/>
        </w:numPr>
      </w:pPr>
      <w:r>
        <w:t xml:space="preserve">A renewal or modification shall be reviewed again when it changes what is delivered, the information involved or the supplier’s responsibilities. (SA-4)</w:t>
      </w:r>
    </w:p>
    <w:p>
      <w:pPr>
        <w:pStyle w:val="Guidance"/>
      </w:pPr>
      <w:r>
        <w:t xml:space="preserve">Low-value and click-through purchases are the most common way software and services reach a system without any security terms. Scaling the review means a short check for a desktop tool, not a waiver: confirm what the product does with the organization’s information, and whether the supplier’s own terms cover vulnerability notice and support.</w:t>
      </w:r>
    </w:p>
    <w:bookmarkEnd w:id="15"/>
    <w:bookmarkStart w:id="34" w:name="standard-requirements"/>
    <w:p>
      <w:pPr>
        <w:pStyle w:val="Heading2"/>
      </w:pPr>
      <w:r>
        <w:t xml:space="preserve">4. Standard requirements</w:t>
      </w:r>
    </w:p>
    <w:p>
      <w:pPr>
        <w:pStyle w:val="FirstParagraph"/>
      </w:pPr>
      <w:r>
        <w:t xml:space="preserve">Each item cites the part of SA-4 it meets. Where an item does not apply to what is bought, the solicitation says so.</w:t>
      </w:r>
    </w:p>
    <w:bookmarkStart w:id="16" w:name="X6d320974f8ce8899717e8ca200bb98839eb5fe2"/>
    <w:p>
      <w:pPr>
        <w:pStyle w:val="Heading3"/>
      </w:pPr>
      <w:r>
        <w:t xml:space="preserve">4.1 Functional, strength and control requirements</w:t>
      </w:r>
    </w:p>
    <w:p>
      <w:pPr>
        <w:pStyle w:val="Compact"/>
        <w:numPr>
          <w:ilvl w:val="0"/>
          <w:numId w:val="1002"/>
        </w:numPr>
      </w:pPr>
      <w:r>
        <w:t xml:space="preserve">Each contract shall state the security and privacy functional requirements for the system, component or service. (SA-4a)</w:t>
      </w:r>
    </w:p>
    <w:p>
      <w:pPr>
        <w:pStyle w:val="Compact"/>
        <w:numPr>
          <w:ilvl w:val="0"/>
          <w:numId w:val="1002"/>
        </w:numPr>
      </w:pPr>
      <w:r>
        <w:t xml:space="preserve">Each contract shall state the strength of mechanism requirements, such as correctness, completeness, and resistance to tampering, bypass and direct attack. (SA-4b)</w:t>
      </w:r>
    </w:p>
    <w:p>
      <w:pPr>
        <w:pStyle w:val="Compact"/>
        <w:numPr>
          <w:ilvl w:val="0"/>
          <w:numId w:val="1002"/>
        </w:numPr>
      </w:pPr>
      <w:r>
        <w:t xml:space="preserve">Each contract shall state the controls the supplier implements, with any parameter values it must meet. (SA-4d)</w:t>
      </w:r>
    </w:p>
    <w:p>
      <w:pPr>
        <w:pStyle w:val="Compact"/>
        <w:numPr>
          <w:ilvl w:val="0"/>
          <w:numId w:val="1002"/>
        </w:numPr>
      </w:pPr>
      <w:r>
        <w:t xml:space="preserve">Each contract shall require the developer to describe the functional properties of the controls it implements, as seen at their interfaces. The description shall cover every control the contract allocates to the developer. (SA-4(1))</w:t>
      </w:r>
    </w:p>
    <w:bookmarkEnd w:id="16"/>
    <w:bookmarkStart w:id="18" w:name="X8cd36ebd37c2b6f1387b1932d210021181f7544"/>
    <w:p>
      <w:pPr>
        <w:pStyle w:val="Heading3"/>
      </w:pPr>
      <w:r>
        <w:t xml:space="preserve">4.2 Assurance requirements and developer evidence</w:t>
      </w:r>
    </w:p>
    <w:p>
      <w:pPr>
        <w:pStyle w:val="Compact"/>
        <w:numPr>
          <w:ilvl w:val="0"/>
          <w:numId w:val="1003"/>
        </w:numPr>
      </w:pPr>
      <w:r>
        <w:t xml:space="preserve">Each contract shall state the security and privacy assurance requirements: the development processes the supplier follows, and the evidence from development and assessment it provides. (SA-4c)</w:t>
      </w:r>
    </w:p>
    <w:p>
      <w:pPr>
        <w:pStyle w:val="Compact"/>
        <w:numPr>
          <w:ilvl w:val="0"/>
          <w:numId w:val="1003"/>
        </w:numPr>
      </w:pPr>
      <w:r>
        <w:t xml:space="preserve">Each contract shall require the developer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003"/>
        </w:numPr>
      </w:pPr>
      <w:r>
        <w:t xml:space="preserve">A contract for custom development shall require the developer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and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(SA-10a, SA-10b)</w:t>
      </w:r>
    </w:p>
    <w:p>
      <w:pPr>
        <w:pStyle w:val="Compact"/>
        <w:numPr>
          <w:ilvl w:val="0"/>
          <w:numId w:val="1003"/>
        </w:numPr>
      </w:pPr>
      <w:r>
        <w:t xml:space="preserve">A contract for custom development shall require the developer to implement only organization-approved changes, document approved changes and their potential security and privacy impacts, and track security flaws and their resolution, reporting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(SA-10c, SA-10d, SA-10e)</w:t>
      </w:r>
    </w:p>
    <w:p>
      <w:pPr>
        <w:pStyle w:val="Compact"/>
        <w:numPr>
          <w:ilvl w:val="0"/>
          <w:numId w:val="1003"/>
        </w:numPr>
      </w:pPr>
      <w:r>
        <w:t xml:space="preserve">A contract for custom development shall require the developer to develop and implement a plan for ongoing security and privacy control assessments at all post-design stages of the life cycle. (SA-11a)</w:t>
      </w:r>
    </w:p>
    <w:p>
      <w:pPr>
        <w:pStyle w:val="Compact"/>
        <w:numPr>
          <w:ilvl w:val="0"/>
          <w:numId w:val="1003"/>
        </w:numPr>
      </w:pPr>
      <w:r>
        <w:t xml:space="preserve">A contract for custom development 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003"/>
        </w:numPr>
      </w:pPr>
      <w:r>
        <w:t xml:space="preserve">A contract for custom development shall require the developer to produce evidence of the assessment plan’s execution and the testing results, implement a verifiable flaw remediation process, and correct flaws found in testing. (SA-11c, SA-11d, SA-11e)</w:t>
      </w:r>
    </w:p>
    <w:p>
      <w:pPr>
        <w:pStyle w:val="Compact"/>
        <w:numPr>
          <w:ilvl w:val="0"/>
          <w:numId w:val="1003"/>
        </w:numPr>
      </w:pPr>
      <w:r>
        <w:t xml:space="preserve">A contract for custom development shall require the developer to follow a documented development process that addresses security and privacy requirements, identifies the standards and tools used, documents tool options and configurations, and controls changes to the process and tools. (SA-15a)</w:t>
      </w:r>
    </w:p>
    <w:p>
      <w:pPr>
        <w:pStyle w:val="Compact"/>
        <w:numPr>
          <w:ilvl w:val="0"/>
          <w:numId w:val="1003"/>
        </w:numPr>
      </w:pPr>
      <w:r>
        <w:t xml:space="preserve">A contract for custom development shall require the developer to support the organization’s review of that process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against</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003"/>
        </w:numPr>
      </w:pPr>
      <w:r>
        <w:t xml:space="preserve">A contract for custom development shall require the developer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covering</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w:t>
      </w:r>
    </w:p>
    <w:p>
      <w:pPr>
        <w:pStyle w:val="Guidance"/>
      </w:pPr>
      <w:r>
        <w:t xml:space="preserve">Most commercial products supply interface and high-level design information only; NIST’s SA-4(2) discussion lists the levels. Ask for more where the system’s risk warrants it, and say so in the solicitation so suppliers can price it. The SA-10, SA-11, SA-15 and SA-15(3) items apply to a developer building or modifying the system for the organization; for a commercial product, the assurance requirements in the first item are usually met by the supplier’s published secure development practices and evidence. NIST’s Secure Software Development Framework,</w:t>
      </w:r>
      <w:r>
        <w:t xml:space="preserve"> </w:t>
      </w:r>
      <w:hyperlink r:id="rId17">
        <w:r>
          <w:rPr>
            <w:rStyle w:val="Hyperlink"/>
          </w:rPr>
          <w:t xml:space="preserve">SP 800-218</w:t>
        </w:r>
      </w:hyperlink>
      <w:r>
        <w:t xml:space="preserve"> </w:t>
      </w:r>
      <w:r>
        <w:t xml:space="preserve">(February 2022, version 1.1; version 1.2 is a December 2025 draft; as of September 2026), cites SA-4 for task PO.1.3, communicating requirements to third parties who provide commercial software components, and for task PW.4.1, acquiring well-secured software components. The organization’s own secure development policy and standard, based on the SSDF, are separate templates.</w:t>
      </w:r>
    </w:p>
    <w:bookmarkEnd w:id="18"/>
    <w:bookmarkStart w:id="19" w:name="documentation-and-its-protection"/>
    <w:p>
      <w:pPr>
        <w:pStyle w:val="Heading3"/>
      </w:pPr>
      <w:r>
        <w:t xml:space="preserve">4.3 Documentation and its protection</w:t>
      </w:r>
    </w:p>
    <w:p>
      <w:pPr>
        <w:pStyle w:val="Compact"/>
        <w:numPr>
          <w:ilvl w:val="0"/>
          <w:numId w:val="1004"/>
        </w:numPr>
      </w:pPr>
      <w:r>
        <w:t xml:space="preserve">Each contract shall require administrator documentation that describes secure configuration, installation and operation, the effective use and maintenance of the security and privacy functions, and known vulnerabilities in administrative or privileged functions. (SA-4e, SA-5a)</w:t>
      </w:r>
    </w:p>
    <w:p>
      <w:pPr>
        <w:pStyle w:val="Compact"/>
        <w:numPr>
          <w:ilvl w:val="0"/>
          <w:numId w:val="1004"/>
        </w:numPr>
      </w:pPr>
      <w:r>
        <w:t xml:space="preserve">Each contract shall require user documentation that describes the user-accessible security and privacy functions, how to use them securely, and users’ responsibilities. (SA-4e, SA-5b)</w:t>
      </w:r>
    </w:p>
    <w:p>
      <w:pPr>
        <w:pStyle w:val="Compact"/>
        <w:numPr>
          <w:ilvl w:val="0"/>
          <w:numId w:val="1004"/>
        </w:numPr>
      </w:pPr>
      <w:r>
        <w:t xml:space="preserve">Each contract shall state how the supplier protects the documentation and the design and implementation information, according to the system’s security category, including limits on who may see documentation that describes vulnerabilities. (SA-4f)</w:t>
      </w:r>
    </w:p>
    <w:bookmarkEnd w:id="19"/>
    <w:bookmarkStart w:id="20" w:name="X6f8f39b4e5f503b2d2ccb979d13f9e399339a1e"/>
    <w:p>
      <w:pPr>
        <w:pStyle w:val="Heading3"/>
      </w:pPr>
      <w:r>
        <w:t xml:space="preserve">4.4 Environments, configurations and functions in use</w:t>
      </w:r>
    </w:p>
    <w:p>
      <w:pPr>
        <w:pStyle w:val="Compact"/>
        <w:numPr>
          <w:ilvl w:val="0"/>
          <w:numId w:val="1005"/>
        </w:numPr>
      </w:pPr>
      <w:r>
        <w:t xml:space="preserve">Each contract shall describe the system development environment and the environment in which the system, component or service is intended to operate. (SA-4g)</w:t>
      </w:r>
    </w:p>
    <w:p>
      <w:pPr>
        <w:pStyle w:val="Compact"/>
        <w:numPr>
          <w:ilvl w:val="0"/>
          <w:numId w:val="1005"/>
        </w:numPr>
      </w:pPr>
      <w:r>
        <w:t xml:space="preserve">Each contract shall require the developer to identify, early in the life cycle, the functions, ports, protocols and services intended for organizational use. (SA-4(9))</w:t>
      </w:r>
    </w:p>
    <w:p>
      <w:pPr>
        <w:pStyle w:val="FirstParagraph"/>
      </w:pPr>
      <w:r>
        <w:t xml:space="preserve">This paragraph applies to High systems.</w:t>
      </w:r>
    </w:p>
    <w:p>
      <w:pPr>
        <w:pStyle w:val="Compact"/>
        <w:numPr>
          <w:ilvl w:val="0"/>
          <w:numId w:val="1006"/>
        </w:numPr>
      </w:pPr>
      <w:r>
        <w:t xml:space="preserve">Each contract shall require the developer to deliver the system, component or service with</w:t>
      </w:r>
      <w:r>
        <w:t xml:space="preserve"> </w:t>
      </w:r>
      <w:r>
        <w:rPr>
          <w:rStyle w:val="Fill-in"/>
        </w:rPr>
        <w:t xml:space="preserve">[Fill in: security configurations for the system, component, or service. Typical: the secure configuration baselines named in the baseline configuration standard for that type of component, with default passwords changed and the functions, ports, protocols and services not needed disabled]</w:t>
      </w:r>
      <w:r>
        <w:t xml:space="preserve"> </w:t>
      </w:r>
      <w:r>
        <w:t xml:space="preserve">implemented, and to use those configurations as the default for any later reinstallation or upgrade. (SA-4(5))</w:t>
      </w:r>
    </w:p>
    <w:bookmarkEnd w:id="20"/>
    <w:bookmarkStart w:id="24" w:name="responsibilities-and-supply-chain"/>
    <w:p>
      <w:pPr>
        <w:pStyle w:val="Heading3"/>
      </w:pPr>
      <w:r>
        <w:t xml:space="preserve">4.5 Responsibilities and supply chain</w:t>
      </w:r>
    </w:p>
    <w:p>
      <w:pPr>
        <w:pStyle w:val="Compact"/>
        <w:numPr>
          <w:ilvl w:val="0"/>
          <w:numId w:val="1007"/>
        </w:numPr>
      </w:pPr>
      <w:r>
        <w:t xml:space="preserve">Each contract shall allocate responsibility for information security, privacy and supply chain risk management between the organization and the supplier, or name the parties responsible. (SA-4h)</w:t>
      </w:r>
    </w:p>
    <w:p>
      <w:pPr>
        <w:pStyle w:val="Compact"/>
        <w:numPr>
          <w:ilvl w:val="0"/>
          <w:numId w:val="1007"/>
        </w:numPr>
      </w:pPr>
      <w:r>
        <w:t xml:space="preserve">Each contract shall require the supplier to flow the security and privacy requirements down to the subcontractors that take part in delivering the system, component or service. (SA-4h)</w:t>
      </w:r>
    </w:p>
    <w:p>
      <w:pPr>
        <w:pStyle w:val="Compact"/>
        <w:numPr>
          <w:ilvl w:val="0"/>
          <w:numId w:val="1007"/>
        </w:numPr>
      </w:pPr>
      <w:r>
        <w:t xml:space="preserve">Each contract shall require the supplier to identify the origin of critical components and to tell the organization of changes in the suppliers of those components.</w:t>
      </w:r>
      <w:r>
        <w:t xml:space="preserve"> </w:t>
      </w:r>
      <w:r>
        <w:rPr>
          <w:rStyle w:val="Fill-in"/>
        </w:rPr>
        <w:t xml:space="preserve">[Fill in: further supply chain terms from the supply chain risk management plan, or</w:t>
      </w:r>
      <w:r>
        <w:rPr>
          <w:rStyle w:val="Fill-in"/>
        </w:rPr>
        <w:t xml:space="preserve"> </w:t>
      </w:r>
      <w:r>
        <w:rPr>
          <w:rStyle w:val="Fill-in"/>
        </w:rPr>
        <w:t xml:space="preserve">“none”</w:t>
      </w:r>
      <w:r>
        <w:rPr>
          <w:rStyle w:val="Fill-in"/>
        </w:rPr>
        <w:t xml:space="preserve">]</w:t>
      </w:r>
      <w:r>
        <w:t xml:space="preserve"> </w:t>
      </w:r>
      <w:r>
        <w:t xml:space="preserve">(SR-5)</w:t>
      </w:r>
    </w:p>
    <w:p>
      <w:pPr>
        <w:pStyle w:val="Guidance"/>
      </w:pPr>
      <w:hyperlink r:id="rId21">
        <w:r>
          <w:rPr>
            <w:rStyle w:val="Hyperlink"/>
          </w:rPr>
          <w:t xml:space="preserve">NIST SP 800-161 Rev. 1</w:t>
        </w:r>
      </w:hyperlink>
      <w:r>
        <w:t xml:space="preserve">, Cybersecurity Supply Chain Risk Management Practices for Systems and Organizations (May 2022, updated November 1, 2024, current as of September 2026), covers supply chain requirements in acquisitions in more depth. Align the supply chain terms here with the SR-5 and SR-8 statements of the</w:t>
      </w:r>
      <w:r>
        <w:t xml:space="preserve"> </w:t>
      </w:r>
      <w:hyperlink r:id="rId22">
        <w:r>
          <w:rPr>
            <w:rStyle w:val="Hyperlink"/>
          </w:rPr>
          <w:t xml:space="preserve">Supply Chain Risk Management Policy</w:t>
        </w:r>
      </w:hyperlink>
      <w:r>
        <w:t xml:space="preserve">, which rely on them, and with each system’s</w:t>
      </w:r>
      <w:r>
        <w:t xml:space="preserve"> </w:t>
      </w:r>
      <w:hyperlink r:id="rId23">
        <w:r>
          <w:rPr>
            <w:rStyle w:val="Hyperlink"/>
          </w:rPr>
          <w:t xml:space="preserve">Supply Chain Risk Management Plan</w:t>
        </w:r>
      </w:hyperlink>
      <w:r>
        <w:t xml:space="preserve"> </w:t>
      </w:r>
      <w:r>
        <w:t xml:space="preserve">(SR-2).</w:t>
      </w:r>
    </w:p>
    <w:bookmarkEnd w:id="24"/>
    <w:bookmarkStart w:id="25" w:name="support-notification-and-updates"/>
    <w:p>
      <w:pPr>
        <w:pStyle w:val="Heading3"/>
      </w:pPr>
      <w:r>
        <w:t xml:space="preserve">4.6 Support, notification and updates</w:t>
      </w:r>
    </w:p>
    <w:p>
      <w:pPr>
        <w:pStyle w:val="Compact"/>
        <w:numPr>
          <w:ilvl w:val="0"/>
          <w:numId w:val="1008"/>
        </w:numPr>
      </w:pPr>
      <w:r>
        <w:t xml:space="preserve">Each contract shall require the supplier to notify the organization of a security incident or breach affecting the organization’s information or the delivered product within</w:t>
      </w:r>
      <w:r>
        <w:t xml:space="preserve"> </w:t>
      </w:r>
      <w:r>
        <w:rPr>
          <w:rStyle w:val="Fill-in"/>
        </w:rPr>
        <w:t xml:space="preserve">[Fill in: time, for example 24 hours of discovery]</w:t>
      </w:r>
      <w:r>
        <w:t xml:space="preserve">. (SA-4)</w:t>
      </w:r>
    </w:p>
    <w:p>
      <w:pPr>
        <w:pStyle w:val="Compact"/>
        <w:numPr>
          <w:ilvl w:val="0"/>
          <w:numId w:val="1008"/>
        </w:numPr>
      </w:pPr>
      <w:r>
        <w:t xml:space="preserve">Each contract shall require the supplier to notify the organization of a vulnerability in the delivered product, with its fix or mitigation, within</w:t>
      </w:r>
      <w:r>
        <w:t xml:space="preserve"> </w:t>
      </w:r>
      <w:r>
        <w:rPr>
          <w:rStyle w:val="Fill-in"/>
        </w:rPr>
        <w:t xml:space="preserve">[Fill in: time, for example 30 days of the supplier learning of it, or sooner when it is being exploited]</w:t>
      </w:r>
      <w:r>
        <w:t xml:space="preserve">. (SA-4)</w:t>
      </w:r>
    </w:p>
    <w:p>
      <w:pPr>
        <w:pStyle w:val="Compact"/>
        <w:numPr>
          <w:ilvl w:val="0"/>
          <w:numId w:val="1008"/>
        </w:numPr>
      </w:pPr>
      <w:r>
        <w:t xml:space="preserve">Each contract shall state the period during which the supplier provides security updates, and require at least</w:t>
      </w:r>
      <w:r>
        <w:t xml:space="preserve"> </w:t>
      </w:r>
      <w:r>
        <w:rPr>
          <w:rStyle w:val="Fill-in"/>
        </w:rPr>
        <w:t xml:space="preserve">[Fill in: notice, for example 12 months]</w:t>
      </w:r>
      <w:r>
        <w:t xml:space="preserve"> </w:t>
      </w:r>
      <w:r>
        <w:t xml:space="preserve">notice before support ends. (SA-4, SA-22)</w:t>
      </w:r>
    </w:p>
    <w:p>
      <w:pPr>
        <w:pStyle w:val="Compact"/>
        <w:numPr>
          <w:ilvl w:val="0"/>
          <w:numId w:val="1008"/>
        </w:numPr>
      </w:pPr>
      <w:r>
        <w:t xml:space="preserve">Each contract shall require the supplier to cooperate with the organization’s assessments, and to provide the evidence the organization needs to monitor compliance. (SA-4c)</w:t>
      </w:r>
    </w:p>
    <w:p>
      <w:pPr>
        <w:pStyle w:val="Guidance"/>
      </w:pPr>
      <w:r>
        <w:t xml:space="preserve">NIST’s SA-4 discussion lets organizations add requirements for responsibilities, and for notice and timing of support, maintenance and updates. Incident and vulnerability notice times feed incident reporting (IR-6) and the patch and flaw remediation standard; the support period drives the replacement planning SA-22 requires, since a component without support gets no security updates.</w:t>
      </w:r>
    </w:p>
    <w:bookmarkEnd w:id="25"/>
    <w:bookmarkStart w:id="26" w:name="acceptance-criteria"/>
    <w:p>
      <w:pPr>
        <w:pStyle w:val="Heading3"/>
      </w:pPr>
      <w:r>
        <w:t xml:space="preserve">4.7 Acceptance criteria</w:t>
      </w:r>
    </w:p>
    <w:p>
      <w:pPr>
        <w:pStyle w:val="Compact"/>
        <w:numPr>
          <w:ilvl w:val="0"/>
          <w:numId w:val="1009"/>
        </w:numPr>
      </w:pPr>
      <w:r>
        <w:t xml:space="preserve">Each contract shall state the acceptance criteria for the system, component or service, including that the deliverables in sections 4.1 to 4.4 have been provided and that the organization’s acceptance tests have passed. (SA-4i)</w:t>
      </w:r>
    </w:p>
    <w:p>
      <w:pPr>
        <w:pStyle w:val="Compact"/>
        <w:numPr>
          <w:ilvl w:val="0"/>
          <w:numId w:val="1009"/>
        </w:numPr>
      </w:pPr>
      <w:r>
        <w:t xml:space="preserve">The</w:t>
      </w:r>
      <w:r>
        <w:t xml:space="preserve"> </w:t>
      </w:r>
      <w:r>
        <w:rPr>
          <w:rStyle w:val="Fill-in"/>
        </w:rPr>
        <w:t xml:space="preserve">[System owner]</w:t>
      </w:r>
      <w:r>
        <w:t xml:space="preserve"> </w:t>
      </w:r>
      <w:r>
        <w:t xml:space="preserve">shall not accept a deliverable that fails an acceptance criterion unless the risk is accepted under section 6. (SA-4i)</w:t>
      </w:r>
    </w:p>
    <w:bookmarkEnd w:id="26"/>
    <w:bookmarkStart w:id="27" w:name="personal-identity-verification-products"/>
    <w:p>
      <w:pPr>
        <w:pStyle w:val="Heading3"/>
      </w:pPr>
      <w:r>
        <w:t xml:space="preserve">4.8 Personal Identity Verification products</w:t>
      </w:r>
    </w:p>
    <w:p>
      <w:pPr>
        <w:pStyle w:val="Compact"/>
        <w:numPr>
          <w:ilvl w:val="0"/>
          <w:numId w:val="1010"/>
        </w:numPr>
      </w:pPr>
      <w:r>
        <w:t xml:space="preserve">Where the system implements Personal Identity Verification (PIV) capability, each contract for that capability shall require products on the FIPS 201-approved products list. (SA-4(10))</w:t>
      </w:r>
    </w:p>
    <w:bookmarkEnd w:id="27"/>
    <w:bookmarkStart w:id="33" w:name="personnel-security"/>
    <w:p>
      <w:pPr>
        <w:pStyle w:val="Heading3"/>
      </w:pPr>
      <w:r>
        <w:t xml:space="preserve">4.9 Personnel security</w:t>
      </w:r>
    </w:p>
    <w:p>
      <w:pPr>
        <w:pStyle w:val="FirstParagraph"/>
      </w:pPr>
      <w:r>
        <w:t xml:space="preserve">These items apply to each contract under which the supplier’s personnel will hold organizational credentials or badges, have system privileges, or have access to organizational information.</w:t>
      </w:r>
    </w:p>
    <w:p>
      <w:pPr>
        <w:pStyle w:val="Compact"/>
        <w:numPr>
          <w:ilvl w:val="0"/>
          <w:numId w:val="1011"/>
        </w:numPr>
      </w:pPr>
      <w:r>
        <w:t xml:space="preserve">Each such contract shall state the personnel security requirements for the supplier’s personnel, including their security roles and responsibilities. (PS-7a, PS-7c)</w:t>
      </w:r>
    </w:p>
    <w:p>
      <w:pPr>
        <w:pStyle w:val="Compact"/>
        <w:numPr>
          <w:ilvl w:val="0"/>
          <w:numId w:val="1011"/>
        </w:numPr>
      </w:pPr>
      <w:r>
        <w:t xml:space="preserve">Each such contract shall require the supplier to comply with the organization’s personnel security policies and procedures, and to flow these requirements down to subcontractors whose personnel will have such access. (PS-7b)</w:t>
      </w:r>
    </w:p>
    <w:p>
      <w:pPr>
        <w:pStyle w:val="Compact"/>
        <w:numPr>
          <w:ilvl w:val="0"/>
          <w:numId w:val="1011"/>
        </w:numPr>
      </w:pPr>
      <w:r>
        <w:t xml:space="preserve">Each such contract shall require the supplier to screen its personnel to the criteria the organization sets for the risk designation of the position they fill, before they are given access, and to give the organization evidence of the screening. (PS-7b, PS-3)</w:t>
      </w:r>
    </w:p>
    <w:p>
      <w:pPr>
        <w:pStyle w:val="Compact"/>
        <w:numPr>
          <w:ilvl w:val="0"/>
          <w:numId w:val="1011"/>
        </w:numPr>
      </w:pPr>
      <w:r>
        <w:t xml:space="preserve">Each such contract shall require the supplier’s personnel to sign the organization’s access agreements before they are given access, and to complete the training the organization requires for their role. (PS-7b, PS-6, AT-2, AT-3)</w:t>
      </w:r>
    </w:p>
    <w:p>
      <w:pPr>
        <w:pStyle w:val="Compact"/>
        <w:numPr>
          <w:ilvl w:val="0"/>
          <w:numId w:val="1011"/>
        </w:numPr>
      </w:pPr>
      <w:r>
        <w:t xml:space="preserve">Each such contract shall require the supplier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its personnel who hold organizational credentials or badges, or who have system privileges. (PS-7d)</w:t>
      </w:r>
    </w:p>
    <w:p>
      <w:pPr>
        <w:pStyle w:val="Compact"/>
        <w:numPr>
          <w:ilvl w:val="0"/>
          <w:numId w:val="1011"/>
        </w:numPr>
      </w:pPr>
      <w:r>
        <w:t xml:space="preserve">Each such contract shall require the supplier to provide a current roster of its personnel with such access</w:t>
      </w:r>
      <w:r>
        <w:t xml:space="preserve"> </w:t>
      </w:r>
      <w:r>
        <w:rPr>
          <w:rStyle w:val="Fill-in"/>
        </w:rPr>
        <w:t xml:space="preserve">[Fill in: for example monthly]</w:t>
      </w:r>
      <w:r>
        <w:t xml:space="preserve">, and to cooperate with the organization’s monitoring of its compliance with these requirements. (PS-7e)</w:t>
      </w:r>
    </w:p>
    <w:p>
      <w:pPr>
        <w:pStyle w:val="Guidance"/>
      </w:pPr>
      <w:r>
        <w:t xml:space="preserve">These items carry out the PS-7 statements of the</w:t>
      </w:r>
      <w:r>
        <w:t xml:space="preserve"> </w:t>
      </w:r>
      <w:hyperlink r:id="rId28">
        <w:r>
          <w:rPr>
            <w:rStyle w:val="Hyperlink"/>
          </w:rPr>
          <w:t xml:space="preserve">Personnel Security Policy</w:t>
        </w:r>
      </w:hyperlink>
      <w:r>
        <w:t xml:space="preserve">; keep the notice time in step with it. The supplier’s notice starts the transfer or termination section of the</w:t>
      </w:r>
      <w:r>
        <w:t xml:space="preserve"> </w:t>
      </w:r>
      <w:hyperlink r:id="rId29">
        <w:r>
          <w:rPr>
            <w:rStyle w:val="Hyperlink"/>
          </w:rPr>
          <w:t xml:space="preserve">onboarding, transfer and termination checklist</w:t>
        </w:r>
      </w:hyperlink>
      <w:r>
        <w:t xml:space="preserve">. The roster is what makes monitoring possible: compare it with the accounts and badges issued to the supplier’s people, and ask for screening and training evidence for a sample. NIST’s PS-7 discussion asks organizations to put personnel security requirements explicitly in acquisition documents, and lets them define which transfers and terminations are reportable by role and by the credentials or privileges involved.</w:t>
      </w:r>
    </w:p>
    <w:bookmarkStart w:id="32" w:name="federal-systems"/>
    <w:p>
      <w:pPr>
        <w:pStyle w:val="Heading4"/>
      </w:pPr>
      <w:r>
        <w:t xml:space="preserve">Federal systems</w:t>
      </w:r>
    </w:p>
    <w:p>
      <w:pPr>
        <w:pStyle w:val="FirstParagraph"/>
      </w:pPr>
      <w:hyperlink r:id="rId30">
        <w:r>
          <w:rPr>
            <w:rStyle w:val="Hyperlink"/>
          </w:rPr>
          <w:t xml:space="preserve">5 CFR 731.106</w:t>
        </w:r>
      </w:hyperlink>
      <w:r>
        <w:t xml:space="preserve">(a) (OPM; as amended June 30, 2026) requires a risk designation for every covered position, including one in which the occupant performs a service as a contractor employee; the investigation and continuous vetting requirements of 731.106(c) and (d) follow from that designation.</w:t>
      </w:r>
      <w:r>
        <w:t xml:space="preserve"> </w:t>
      </w:r>
      <w:hyperlink r:id="rId31">
        <w:r>
          <w:rPr>
            <w:rStyle w:val="Hyperlink"/>
          </w:rPr>
          <w:t xml:space="preserve">FIPS 201-3</w:t>
        </w:r>
      </w:hyperlink>
      <w:r>
        <w:t xml:space="preserve"> </w:t>
      </w:r>
      <w:r>
        <w:t xml:space="preserve">(January 2022), section 2.9.4, requires a PIV Card to be terminated when a contractor changes positions and no longer needs access to federal buildings or systems. As of October 2026.</w:t>
      </w:r>
    </w:p>
    <w:p>
      <w:pPr>
        <w:pStyle w:val="Compact"/>
        <w:numPr>
          <w:ilvl w:val="0"/>
          <w:numId w:val="1012"/>
        </w:numPr>
      </w:pPr>
      <w:r>
        <w:t xml:space="preserve">Each contract under which contractor employees fill covered positions shall require them to undergo the investigation and continuous vetting that the position’s risk designation requires under 5 CFR 731.106. (PS-7b, PS-3)</w:t>
      </w:r>
    </w:p>
    <w:p>
      <w:pPr>
        <w:pStyle w:val="Compact"/>
        <w:numPr>
          <w:ilvl w:val="0"/>
          <w:numId w:val="1012"/>
        </w:numPr>
      </w:pPr>
      <w:r>
        <w:t xml:space="preserve">Each such contract shall require the supplier’s notice under section 4.9 to include an employee who changes positions and no longer needs access to federal buildings or systems, so the agency can have the PIV Card terminated as FIPS 201-3 section 2.9.4 requires. (PS-7d, PS-4b)</w:t>
      </w:r>
    </w:p>
    <w:bookmarkEnd w:id="32"/>
    <w:bookmarkEnd w:id="33"/>
    <w:bookmarkEnd w:id="34"/>
    <w:bookmarkStart w:id="35" w:name="solicitation-review-checklist"/>
    <w:p>
      <w:pPr>
        <w:pStyle w:val="Heading2"/>
      </w:pPr>
      <w:r>
        <w:t xml:space="preserve">5. Solicitation review checklist</w:t>
      </w:r>
    </w:p>
    <w:p>
      <w:pPr>
        <w:pStyle w:val="FirstParagraph"/>
      </w:pPr>
      <w:r>
        <w:t xml:space="preserve">The reviewer completes one checklist for each solicitation and keeps it with the contract 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Solicitation</w:t>
            </w:r>
          </w:p>
        </w:tc>
        <w:tc>
          <w:tcPr/>
          <w:p>
            <w:pPr>
              <w:pStyle w:val="Compact"/>
            </w:pPr>
            <w:r>
              <w:t xml:space="preserve">System</w:t>
            </w:r>
          </w:p>
        </w:tc>
        <w:tc>
          <w:tcPr/>
          <w:p>
            <w:pPr>
              <w:pStyle w:val="Compact"/>
            </w:pPr>
            <w:r>
              <w:t xml:space="preserve">Reviewer</w:t>
            </w:r>
          </w:p>
        </w:tc>
        <w:tc>
          <w:tcPr/>
          <w:p>
            <w:pPr>
              <w:pStyle w:val="Compact"/>
            </w:pPr>
            <w:r>
              <w:t xml:space="preserve">Date</w:t>
            </w:r>
          </w:p>
        </w:tc>
        <w:tc>
          <w:tcPr/>
          <w:p>
            <w:pPr>
              <w:pStyle w:val="Compact"/>
            </w:pPr>
            <w:r>
              <w:t xml:space="preserve">Processes personally identifiable information</w:t>
            </w:r>
          </w:p>
        </w:tc>
      </w:tr>
      <w:tr>
        <w:tc>
          <w:tcPr/>
          <w:p>
            <w:pPr>
              <w:pStyle w:val="Compact"/>
            </w:pPr>
            <w:r>
              <w:rPr>
                <w:rStyle w:val="Fill-in"/>
              </w:rPr>
              <w:t xml:space="preserve">[Fill in: solicitation or purchase number]</w:t>
            </w:r>
          </w:p>
        </w:tc>
        <w:tc>
          <w:tcPr/>
          <w:p>
            <w:pPr>
              <w:pStyle w:val="Compact"/>
            </w:pPr>
            <w:r>
              <w:rPr>
                <w:rStyle w:val="Fill-in"/>
              </w:rPr>
              <w:t xml:space="preserve">[Fill in: system]</w:t>
            </w:r>
          </w:p>
        </w:tc>
        <w:tc>
          <w:tcPr/>
          <w:p>
            <w:pPr>
              <w:pStyle w:val="Compact"/>
            </w:pPr>
            <w:r>
              <w:rPr>
                <w:rStyle w:val="Fill-in"/>
              </w:rPr>
              <w:t xml:space="preserve">[Fill in: name]</w:t>
            </w:r>
          </w:p>
        </w:tc>
        <w:tc>
          <w:tcPr/>
          <w:p>
            <w:pPr>
              <w:pStyle w:val="Compact"/>
            </w:pPr>
            <w:r>
              <w:rPr>
                <w:rStyle w:val="Fill-in"/>
              </w:rPr>
              <w:t xml:space="preserve">[Fill in: date]</w:t>
            </w:r>
          </w:p>
        </w:tc>
        <w:tc>
          <w:tcPr/>
          <w:p>
            <w:pPr>
              <w:pStyle w:val="Compact"/>
            </w:pPr>
            <w:r>
              <w:rPr>
                <w:rStyle w:val="Fill-in"/>
              </w:rPr>
              <w:t xml:space="preserve">[Fill in: yes or no]</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Item</w:t>
            </w:r>
          </w:p>
        </w:tc>
        <w:tc>
          <w:tcPr/>
          <w:p>
            <w:pPr>
              <w:pStyle w:val="Compact"/>
            </w:pPr>
            <w:r>
              <w:t xml:space="preserve">Requirement</w:t>
            </w:r>
          </w:p>
        </w:tc>
        <w:tc>
          <w:tcPr/>
          <w:p>
            <w:pPr>
              <w:pStyle w:val="Compact"/>
            </w:pPr>
            <w:r>
              <w:t xml:space="preserve">Present (yes, no or not applicable)</w:t>
            </w:r>
          </w:p>
        </w:tc>
        <w:tc>
          <w:tcPr/>
          <w:p>
            <w:pPr>
              <w:pStyle w:val="Compact"/>
            </w:pPr>
            <w:r>
              <w:t xml:space="preserve">Where in the solicitation</w:t>
            </w:r>
          </w:p>
        </w:tc>
      </w:tr>
      <w:tr>
        <w:tc>
          <w:tcPr/>
          <w:p>
            <w:pPr>
              <w:pStyle w:val="Compact"/>
            </w:pPr>
            <w:r>
              <w:t xml:space="preserve">SA-4a</w:t>
            </w:r>
          </w:p>
        </w:tc>
        <w:tc>
          <w:tcPr/>
          <w:p>
            <w:pPr>
              <w:pStyle w:val="Compact"/>
            </w:pPr>
            <w:r>
              <w:t xml:space="preserve">Security and privacy functional requirements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SA-4b</w:t>
            </w:r>
          </w:p>
        </w:tc>
        <w:tc>
          <w:tcPr/>
          <w:p>
            <w:pPr>
              <w:pStyle w:val="Compact"/>
            </w:pPr>
            <w:r>
              <w:t xml:space="preserve">Strength of mechanism requirements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SA-4c</w:t>
            </w:r>
          </w:p>
        </w:tc>
        <w:tc>
          <w:tcPr/>
          <w:p>
            <w:pPr>
              <w:pStyle w:val="Compact"/>
            </w:pPr>
            <w:r>
              <w:t xml:space="preserve">Assurance requirements and developer evidence</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SA-4d</w:t>
            </w:r>
          </w:p>
        </w:tc>
        <w:tc>
          <w:tcPr/>
          <w:p>
            <w:pPr>
              <w:pStyle w:val="Compact"/>
            </w:pPr>
            <w:r>
              <w:t xml:space="preserve">Controls the supplier implements, with parameter values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SA-4e</w:t>
            </w:r>
          </w:p>
        </w:tc>
        <w:tc>
          <w:tcPr/>
          <w:p>
            <w:pPr>
              <w:pStyle w:val="Compact"/>
            </w:pPr>
            <w:r>
              <w:t xml:space="preserve">Documentation requirements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SA-4f</w:t>
            </w:r>
          </w:p>
        </w:tc>
        <w:tc>
          <w:tcPr/>
          <w:p>
            <w:pPr>
              <w:pStyle w:val="Compact"/>
            </w:pPr>
            <w:r>
              <w:t xml:space="preserve">Protection of documentation</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SA-4g</w:t>
            </w:r>
          </w:p>
        </w:tc>
        <w:tc>
          <w:tcPr/>
          <w:p>
            <w:pPr>
              <w:pStyle w:val="Compact"/>
            </w:pPr>
            <w:r>
              <w:t xml:space="preserve">Development and operating environments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SA-4h</w:t>
            </w:r>
          </w:p>
        </w:tc>
        <w:tc>
          <w:tcPr/>
          <w:p>
            <w:pPr>
              <w:pStyle w:val="Compact"/>
            </w:pPr>
            <w:r>
              <w:t xml:space="preserve">Responsibilities for security, privacy and supply chain risk; incident and vulnerability notice; support period</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SA-4i</w:t>
            </w:r>
          </w:p>
        </w:tc>
        <w:tc>
          <w:tcPr/>
          <w:p>
            <w:pPr>
              <w:pStyle w:val="Compact"/>
            </w:pPr>
            <w:r>
              <w:t xml:space="preserve">Acceptance criteria</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SA-4(1), SA-4(2)</w:t>
            </w:r>
          </w:p>
        </w:tc>
        <w:tc>
          <w:tcPr/>
          <w:p>
            <w:pPr>
              <w:pStyle w:val="Compact"/>
            </w:pPr>
            <w:r>
              <w:t xml:space="preserve">Functional properties of controls; design and implementation information</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SA-4(9)</w:t>
            </w:r>
          </w:p>
        </w:tc>
        <w:tc>
          <w:tcPr/>
          <w:p>
            <w:pPr>
              <w:pStyle w:val="Compact"/>
            </w:pPr>
            <w:r>
              <w:t xml:space="preserve">Functions, ports, protocols and services identified</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SA-4(5)</w:t>
            </w:r>
          </w:p>
        </w:tc>
        <w:tc>
          <w:tcPr/>
          <w:p>
            <w:pPr>
              <w:pStyle w:val="Compact"/>
            </w:pPr>
            <w:r>
              <w:t xml:space="preserve">Secure configurations delivered (High systems)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SA-4(10)</w:t>
            </w:r>
          </w:p>
        </w:tc>
        <w:tc>
          <w:tcPr/>
          <w:p>
            <w:pPr>
              <w:pStyle w:val="Compact"/>
            </w:pPr>
            <w:r>
              <w:t xml:space="preserve">Approved PIV products (systems with PIV capability)</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SA-10, SA-11, SA-15</w:t>
            </w:r>
          </w:p>
        </w:tc>
        <w:tc>
          <w:tcPr/>
          <w:p>
            <w:pPr>
              <w:pStyle w:val="Compact"/>
            </w:pPr>
            <w:r>
              <w:t xml:space="preserve">Developer configuration management, testing and development process (custom development)</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PS-7</w:t>
            </w:r>
          </w:p>
        </w:tc>
        <w:tc>
          <w:tcPr/>
          <w:p>
            <w:pPr>
              <w:pStyle w:val="Compact"/>
            </w:pPr>
            <w:r>
              <w:t xml:space="preserve">Personnel security requirements, screening, access agreements, training, transfer and termination notice, and roster (supplier personnel with credentials, badges, privileges or access to information)</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SA-9</w:t>
            </w:r>
          </w:p>
        </w:tc>
        <w:tc>
          <w:tcPr/>
          <w:p>
            <w:pPr>
              <w:pStyle w:val="Compact"/>
            </w:pPr>
            <w:r>
              <w:t xml:space="preserve">External service review completed (external services)</w:t>
            </w:r>
          </w:p>
        </w:tc>
        <w:tc>
          <w:tcPr/>
          <w:p>
            <w:pPr>
              <w:pStyle w:val="Compact"/>
            </w:pPr>
            <w:r>
              <w:rPr>
                <w:rStyle w:val="Fill-in"/>
              </w:rPr>
              <w:t xml:space="preserve">[Fill in: answer]</w:t>
            </w:r>
          </w:p>
        </w:tc>
        <w:tc>
          <w:tcPr/>
          <w:p>
            <w:pPr>
              <w:pStyle w:val="Compact"/>
            </w:pPr>
            <w:r>
              <w:rPr>
                <w:rStyle w:val="Fill-in"/>
              </w:rPr>
              <w:t xml:space="preserve">[Fill in: review ID]</w:t>
            </w:r>
          </w:p>
        </w:tc>
      </w:tr>
    </w:tbl>
    <w:p>
      <w:pPr>
        <w:pStyle w:val="BodyText"/>
      </w:pPr>
      <w:r>
        <w:t xml:space="preserve">Result:</w:t>
      </w:r>
      <w:r>
        <w:t xml:space="preserve"> </w:t>
      </w:r>
      <w:r>
        <w:rPr>
          <w:rStyle w:val="Fill-in"/>
        </w:rPr>
        <w:t xml:space="preserve">[Fill in: approved to issue, approved with the changes listed, or returned]</w:t>
      </w:r>
      <w:r>
        <w:t xml:space="preserve">. Changes required:</w:t>
      </w:r>
      <w:r>
        <w:t xml:space="preserve"> </w:t>
      </w:r>
      <w:r>
        <w:rPr>
          <w:rStyle w:val="Fill-in"/>
        </w:rPr>
        <w:t xml:space="preserve">[Fill in: list, or</w:t>
      </w:r>
      <w:r>
        <w:rPr>
          <w:rStyle w:val="Fill-in"/>
        </w:rPr>
        <w:t xml:space="preserve"> </w:t>
      </w:r>
      <w:r>
        <w:rPr>
          <w:rStyle w:val="Fill-in"/>
        </w:rPr>
        <w:t xml:space="preserve">“none”</w:t>
      </w:r>
      <w:r>
        <w:rPr>
          <w:rStyle w:val="Fill-in"/>
        </w:rPr>
        <w:t xml:space="preserve">]</w:t>
      </w:r>
      <w:r>
        <w:t xml:space="preserve">.</w:t>
      </w:r>
    </w:p>
    <w:bookmarkEnd w:id="35"/>
    <w:bookmarkStart w:id="41" w:name="deviations"/>
    <w:p>
      <w:pPr>
        <w:pStyle w:val="Heading2"/>
      </w:pPr>
      <w:r>
        <w:t xml:space="preserve">6. Deviations</w:t>
      </w:r>
    </w:p>
    <w:p>
      <w:pPr>
        <w:pStyle w:val="Compact"/>
        <w:numPr>
          <w:ilvl w:val="0"/>
          <w:numId w:val="1013"/>
        </w:numPr>
      </w:pPr>
      <w:r>
        <w:t xml:space="preserve">A solicitation that leaves out a requirement in section 4 that applies shall be issued only with the</w:t>
      </w:r>
      <w:r>
        <w:t xml:space="preserve"> </w:t>
      </w:r>
      <w:r>
        <w:rPr>
          <w:rStyle w:val="Fill-in"/>
        </w:rPr>
        <w:t xml:space="preserve">[Chief Information Security Officer]</w:t>
      </w:r>
      <w:r>
        <w:t xml:space="preserve">’s written approval, recording the reason and any compensating measures. (SA-4)</w:t>
      </w:r>
    </w:p>
    <w:p>
      <w:pPr>
        <w:pStyle w:val="Compact"/>
        <w:numPr>
          <w:ilvl w:val="0"/>
          <w:numId w:val="1013"/>
        </w:numPr>
      </w:pPr>
      <w:r>
        <w:t xml:space="preserve">A deviation that leaves a risk to the system shall be accepted by the official the risk management strategy authorizes to accept risk at its level, and tracked in the system’s plan of action and milestones. (SA-4, RA-7)</w:t>
      </w:r>
    </w:p>
    <w:bookmarkStart w:id="40" w:name="federal-systems-1"/>
    <w:p>
      <w:pPr>
        <w:pStyle w:val="Heading3"/>
      </w:pPr>
      <w:r>
        <w:t xml:space="preserve">Federal systems</w:t>
      </w:r>
    </w:p>
    <w:p>
      <w:pPr>
        <w:pStyle w:val="FirstParagraph"/>
      </w:pPr>
      <w:hyperlink r:id="rId36">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provisions for Federal Government notification and access, and for cooperation with agency personnel and Inspectors General.</w:t>
      </w:r>
      <w:r>
        <w:t xml:space="preserve"> </w:t>
      </w:r>
      <w:hyperlink r:id="rId37">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w:t>
      </w:r>
      <w:r>
        <w:t xml:space="preserve"> </w:t>
      </w:r>
      <w:hyperlink r:id="rId31">
        <w:r>
          <w:rPr>
            <w:rStyle w:val="Hyperlink"/>
          </w:rPr>
          <w:t xml:space="preserve">FIPS 201-3</w:t>
        </w:r>
      </w:hyperlink>
      <w:r>
        <w:t xml:space="preserve"> </w:t>
      </w:r>
      <w:r>
        <w:t xml:space="preserve">(January 2022) provides FIPS 201 compliance of PIV components through GSA’s</w:t>
      </w:r>
      <w:r>
        <w:t xml:space="preserve"> </w:t>
      </w:r>
      <w:hyperlink r:id="rId38">
        <w:r>
          <w:rPr>
            <w:rStyle w:val="Hyperlink"/>
          </w:rPr>
          <w:t xml:space="preserve">FIPS 201 Approved Products List</w:t>
        </w:r>
      </w:hyperlink>
      <w:r>
        <w:t xml:space="preserve"> </w:t>
      </w:r>
      <w:r>
        <w:t xml:space="preserve">(preamble item 7, Appendix A.5). Under</w:t>
      </w:r>
      <w:r>
        <w:t xml:space="preserve"> </w:t>
      </w:r>
      <w:hyperlink r:id="rId39">
        <w:r>
          <w:rPr>
            <w:rStyle w:val="Hyperlink"/>
          </w:rPr>
          <w:t xml:space="preserve">OMB M-24-15</w:t>
        </w:r>
      </w:hyperlink>
      <w:r>
        <w:t xml:space="preserve">, Modernizing the Federal Risk and Authorization Management Program (July 25, 2024), cloud products and services that create, collect, process, store or maintain Federal information on an agency’s behalf need a FedRAMP authorization, unless the memo places them out of scope. As of September 2026.</w:t>
      </w:r>
    </w:p>
    <w:p>
      <w:pPr>
        <w:pStyle w:val="Compact"/>
        <w:numPr>
          <w:ilvl w:val="0"/>
          <w:numId w:val="1014"/>
        </w:numPr>
      </w:pPr>
      <w:r>
        <w:t xml:space="preserve">Each contract or agreement involving Federal information shall incorporate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the contract requires a secure software development attestation or a software bill of materials, following the agency’s assurance policy under OMB M-26-05. (SA-4c)</w:t>
      </w:r>
    </w:p>
    <w:p>
      <w:pPr>
        <w:pStyle w:val="Compact"/>
        <w:numPr>
          <w:ilvl w:val="0"/>
          <w:numId w:val="1014"/>
        </w:numPr>
      </w:pPr>
      <w:r>
        <w:t xml:space="preserve">Each solicitation for PIV card products, readers or physical access control system products shall require products from the FIPS 201 Approved Products List that GSA maintains. (SA-4(10))</w:t>
      </w:r>
    </w:p>
    <w:p>
      <w:pPr>
        <w:pStyle w:val="Compact"/>
        <w:numPr>
          <w:ilvl w:val="0"/>
          <w:numId w:val="1014"/>
        </w:numPr>
      </w:pPr>
      <w:r>
        <w:t xml:space="preserve">Each solicitation for a cloud product or service within the scope of OMB M-24-15 shall require the offering to hold a FedRAMP authorization, or to obtain one before it processes Federal information. (SA-4, SA-9a)</w:t>
      </w:r>
    </w:p>
    <w:bookmarkEnd w:id="40"/>
    <w:bookmarkEnd w:id="41"/>
    <w:bookmarkStart w:id="42" w:name="review"/>
    <w:p>
      <w:pPr>
        <w:pStyle w:val="Heading2"/>
      </w:pPr>
      <w:r>
        <w:t xml:space="preserve">7.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system and services acquisition policy, acquisition rules or the organization’s risk tolerance changes, or a supplier incident shows a gap in the standard language.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42"/>
    <w:bookmarkEnd w:id="4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Acquisition Security Requirements</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1" Target="https://csrc.nist.gov/pubs/fips/201-3/final" TargetMode="External" /><Relationship Type="http://schemas.openxmlformats.org/officeDocument/2006/relationships/hyperlink" Id="rId11" Target="https://csrc.nist.gov/pubs/sp/800/160/v1/r1/final" TargetMode="External" /><Relationship Type="http://schemas.openxmlformats.org/officeDocument/2006/relationships/hyperlink" Id="rId21" Target="https://csrc.nist.gov/pubs/sp/800/161/r1/upd1/final" TargetMode="External" /><Relationship Type="http://schemas.openxmlformats.org/officeDocument/2006/relationships/hyperlink" Id="rId17" Target="https://csrc.nist.gov/pubs/sp/800/218/final" TargetMode="External" /><Relationship Type="http://schemas.openxmlformats.org/officeDocument/2006/relationships/hyperlink" Id="rId12" Target="https://kston83.github.io/nist-guide/templates/forms/external-service-review/" TargetMode="External" /><Relationship Type="http://schemas.openxmlformats.org/officeDocument/2006/relationships/hyperlink" Id="rId29" Target="https://kston83.github.io/nist-guide/templates/forms/onboarding-transfer-and-termination-checklist/" TargetMode="External" /><Relationship Type="http://schemas.openxmlformats.org/officeDocument/2006/relationships/hyperlink" Id="rId23" Target="https://kston83.github.io/nist-guide/templates/plans/supply-chain-risk-management-plan/" TargetMode="External" /><Relationship Type="http://schemas.openxmlformats.org/officeDocument/2006/relationships/hyperlink" Id="rId28" Target="https://kston83.github.io/nist-guide/templates/policies/ps/" TargetMode="External" /><Relationship Type="http://schemas.openxmlformats.org/officeDocument/2006/relationships/hyperlink" Id="rId22" Target="https://kston83.github.io/nist-guide/templates/policies/sr/" TargetMode="External" /><Relationship Type="http://schemas.openxmlformats.org/officeDocument/2006/relationships/hyperlink" Id="rId9" Target="https://kston83.github.io/nist-guide/templates/standards/acquisition-security-requirements/" TargetMode="External" /><Relationship Type="http://schemas.openxmlformats.org/officeDocument/2006/relationships/hyperlink" Id="rId30" Target="https://www.ecfr.gov/current/title-5/section-731.106" TargetMode="External" /><Relationship Type="http://schemas.openxmlformats.org/officeDocument/2006/relationships/hyperlink" Id="rId39" Target="https://www.fedramp.gov/2026/authority/m-24-15/" TargetMode="External" /><Relationship Type="http://schemas.openxmlformats.org/officeDocument/2006/relationships/hyperlink" Id="rId38" Target="https://www.idmanagement.gov/fips201/" TargetMode="External" /><Relationship Type="http://schemas.openxmlformats.org/officeDocument/2006/relationships/hyperlink" Id="rId37" Target="https://www.whitehouse.gov/wp-content/uploads/2026/01/M-26-05-Adopting-a-Risk-based-Approach-to-Software-and-Hardware-Security.pdf" TargetMode="External" /><Relationship Type="http://schemas.openxmlformats.org/officeDocument/2006/relationships/hyperlink" Id="rId3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1" Target="https://csrc.nist.gov/pubs/fips/201-3/final" TargetMode="External" /><Relationship Type="http://schemas.openxmlformats.org/officeDocument/2006/relationships/hyperlink" Id="rId11" Target="https://csrc.nist.gov/pubs/sp/800/160/v1/r1/final" TargetMode="External" /><Relationship Type="http://schemas.openxmlformats.org/officeDocument/2006/relationships/hyperlink" Id="rId21" Target="https://csrc.nist.gov/pubs/sp/800/161/r1/upd1/final" TargetMode="External" /><Relationship Type="http://schemas.openxmlformats.org/officeDocument/2006/relationships/hyperlink" Id="rId17" Target="https://csrc.nist.gov/pubs/sp/800/218/final" TargetMode="External" /><Relationship Type="http://schemas.openxmlformats.org/officeDocument/2006/relationships/hyperlink" Id="rId12" Target="https://kston83.github.io/nist-guide/templates/forms/external-service-review/" TargetMode="External" /><Relationship Type="http://schemas.openxmlformats.org/officeDocument/2006/relationships/hyperlink" Id="rId29" Target="https://kston83.github.io/nist-guide/templates/forms/onboarding-transfer-and-termination-checklist/" TargetMode="External" /><Relationship Type="http://schemas.openxmlformats.org/officeDocument/2006/relationships/hyperlink" Id="rId23" Target="https://kston83.github.io/nist-guide/templates/plans/supply-chain-risk-management-plan/" TargetMode="External" /><Relationship Type="http://schemas.openxmlformats.org/officeDocument/2006/relationships/hyperlink" Id="rId28" Target="https://kston83.github.io/nist-guide/templates/policies/ps/" TargetMode="External" /><Relationship Type="http://schemas.openxmlformats.org/officeDocument/2006/relationships/hyperlink" Id="rId22" Target="https://kston83.github.io/nist-guide/templates/policies/sr/" TargetMode="External" /><Relationship Type="http://schemas.openxmlformats.org/officeDocument/2006/relationships/hyperlink" Id="rId9" Target="https://kston83.github.io/nist-guide/templates/standards/acquisition-security-requirements/" TargetMode="External" /><Relationship Type="http://schemas.openxmlformats.org/officeDocument/2006/relationships/hyperlink" Id="rId30" Target="https://www.ecfr.gov/current/title-5/section-731.106" TargetMode="External" /><Relationship Type="http://schemas.openxmlformats.org/officeDocument/2006/relationships/hyperlink" Id="rId39" Target="https://www.fedramp.gov/2026/authority/m-24-15/" TargetMode="External" /><Relationship Type="http://schemas.openxmlformats.org/officeDocument/2006/relationships/hyperlink" Id="rId38" Target="https://www.idmanagement.gov/fips201/" TargetMode="External" /><Relationship Type="http://schemas.openxmlformats.org/officeDocument/2006/relationships/hyperlink" Id="rId37" Target="https://www.whitehouse.gov/wp-content/uploads/2026/01/M-26-05-Adopting-a-Risk-based-Approach-to-Software-and-Hardware-Security.pdf" TargetMode="External" /><Relationship Type="http://schemas.openxmlformats.org/officeDocument/2006/relationships/hyperlink" Id="rId3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