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encryption-and-key-management-standard"/>
    <w:p>
      <w:pPr>
        <w:pStyle w:val="Heading1"/>
      </w:pPr>
      <w:r>
        <w:t xml:space="preserve">Encryption and Key Management Standard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https://kston83.github.io/nist-guide/templates/standards/encryption-and-key-management-standard/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system and communications protection policy says information must be encrypted and keys managed; this standard says with what, where and how. Keep the values here in step with the SC-8, SC-12, SC-13, SC-17 and SC-28 statements in the policy, since assessors compare the two. Most of this standard is met by choosing the right settings in services the organization already has: the operating system’s validated cryptography, the cloud provider’s key management service, and the load balancer’s TLS policy. Where a system inherits a protection from its provider, record that in the system security plan rather than repeating it here.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Effective 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</w:tr>
    </w:tbl>
    <w:bookmarkStart w:id="11" w:name="purpose-and-scope"/>
    <w:p>
      <w:pPr>
        <w:pStyle w:val="Heading2"/>
      </w:pPr>
      <w:r>
        <w:t xml:space="preserve">1. Purpose and scope</w:t>
      </w:r>
    </w:p>
    <w:p>
      <w:pPr>
        <w:pStyle w:val="FirstParagraph"/>
      </w:pPr>
      <w:r>
        <w:t xml:space="preserve">This standard sets the minimum requirements for using cryptography and managing cryptographic keys and certificates in the systems of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. It applies to every system in the system inventory, including cloud services, and to every use of cryptography in them: protocols, storage encryption, digital signatures, authentication and code the organization develops.</w:t>
      </w:r>
    </w:p>
    <w:bookmarkEnd w:id="11"/>
    <w:bookmarkStart w:id="12" w:name="roles"/>
    <w:p>
      <w:pPr>
        <w:pStyle w:val="Heading2"/>
      </w:pPr>
      <w:r>
        <w:t xml:space="preserve">2. Roles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t xml:space="preserve">Responsibilities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t xml:space="preserve">Owns this standard; keeps the list of approved cryptography; provides the enterprise key management and certificate services; approves exceptions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key management function, for example the security engineering team]</w:t>
            </w:r>
          </w:p>
        </w:tc>
        <w:tc>
          <w:tcPr/>
          <w:p>
            <w:pPr>
              <w:pStyle w:val="Compact"/>
            </w:pPr>
            <w:r>
              <w:t xml:space="preserve">Runs the key management service and hardware security modules, the certificate authority and the certificate inventory; keeps the cryptographic inventory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custodians</w:t>
            </w:r>
          </w:p>
        </w:tc>
        <w:tc>
          <w:tcPr/>
          <w:p>
            <w:pPr>
              <w:pStyle w:val="Compact"/>
            </w:pPr>
            <w:r>
              <w:t xml:space="preserve">Administer keys for a system: create, rotate, suspend and destroy them. They do not use the keys to read the information they protect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[System owner]</w:t>
            </w:r>
          </w:p>
        </w:tc>
        <w:tc>
          <w:tcPr/>
          <w:p>
            <w:pPr>
              <w:pStyle w:val="Compact"/>
            </w:pPr>
            <w:r>
              <w:t xml:space="preserve">Applies this standard to the system, records its cryptographic uses and keys, and requests exceptions</w:t>
            </w:r>
          </w:p>
        </w:tc>
      </w:tr>
    </w:tbl>
    <w:bookmarkEnd w:id="12"/>
    <w:bookmarkStart w:id="18" w:name="approved-cryptography"/>
    <w:p>
      <w:pPr>
        <w:pStyle w:val="Heading2"/>
      </w:pPr>
      <w:r>
        <w:t xml:space="preserve">3. Approved cryptography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determine the cryptographic uses for the organization’s systems, which include</w:t>
      </w:r>
      <w:r>
        <w:t xml:space="preserve"> </w:t>
      </w:r>
      <w:r>
        <w:rPr>
          <w:rStyle w:val="Fill-in"/>
        </w:rPr>
        <w:t xml:space="preserve">[Fill in: cryptographic uses. Typical: encryption in transit and at rest, digital signatures and authentication]</w:t>
      </w:r>
      <w:r>
        <w:t xml:space="preserve">. (SC-13a)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the following types of cryptography for each cryptographic use:</w:t>
      </w:r>
      <w:r>
        <w:t xml:space="preserve"> </w:t>
      </w:r>
      <w:r>
        <w:rPr>
          <w:rStyle w:val="Fill-in"/>
        </w:rPr>
        <w:t xml:space="preserve">[Fill in: types of cryptography for each specified cryptographic use. Typical: NIST-approved algorithms in cryptographic modules validated under FIPS 140-3 (or FIPS 140-2 for existing systems)]</w:t>
      </w:r>
      <w:r>
        <w:t xml:space="preserve">. (SC-13b)</w:t>
      </w:r>
    </w:p>
    <w:p>
      <w:pPr>
        <w:pStyle w:val="Compact"/>
        <w:numPr>
          <w:ilvl w:val="0"/>
          <w:numId w:val="1001"/>
        </w:numPr>
      </w:pPr>
      <w:r>
        <w:t xml:space="preserve">Cryptography shall provide at least 112 bits of security strength, and shall use no algorithm, key length or mode that the table below does not approve. (SC-13b)</w:t>
      </w:r>
    </w:p>
    <w:p>
      <w:pPr>
        <w:pStyle w:val="Compact"/>
        <w:numPr>
          <w:ilvl w:val="0"/>
          <w:numId w:val="1001"/>
        </w:numPr>
      </w:pPr>
      <w:r>
        <w:t xml:space="preserve">Cryptographic modules shall run in their approved (validated) mode, where the module has one. (SC-13b)</w:t>
      </w:r>
    </w:p>
    <w:p>
      <w:pPr>
        <w:pStyle w:val="Compact"/>
        <w:numPr>
          <w:ilvl w:val="0"/>
          <w:numId w:val="1001"/>
        </w:numPr>
      </w:pPr>
      <w:r>
        <w:t xml:space="preserve">Code the organization develops shall call approved cryptographic modules, and shall not implement its own cryptographic algorithms. (SC-13b)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Use</w:t>
            </w:r>
          </w:p>
        </w:tc>
        <w:tc>
          <w:tcPr/>
          <w:p>
            <w:pPr>
              <w:pStyle w:val="Compact"/>
            </w:pPr>
            <w: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Not allowed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Symmetric encryption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AES with 128-bit or 256-bit keys, in GCM, CCM, XTS (storage) or CBC mode]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DES, three-key TDEA (3DES), RC4]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Hashing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SHA-256, SHA-384, SHA-512, SHA-3]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MD5; SHA-1 for digital signatures]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Digital signatures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RSA with 3072-bit or larger keys, ECDSA on P-256 or P-384, EdDSA, ML-DSA]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RSA below 2048 bits, DSA]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establishment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ECDH on P-256 or P-384, RSA with 3072-bit or larger keys, ML-KEM]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finite-field Diffie-Hellman below 2048 bits]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Message authentication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HMAC with SHA-256 or stronger, CMAC, KMAC]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HMAC with keys shorter than 112 bits]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storage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 salted, iterated key derivation function such as PBKDF2 with SHA-256]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unsalted hashes, reversible encryption]</w:t>
            </w:r>
          </w:p>
        </w:tc>
      </w:tr>
    </w:tbl>
    <w:p>
      <w:pPr>
        <w:pStyle w:val="Guidance"/>
      </w:pPr>
      <w:r>
        <w:t xml:space="preserve">The 112-bit floor comes from</w:t>
      </w:r>
      <w:r>
        <w:t xml:space="preserve"> </w:t>
      </w:r>
      <w:hyperlink r:id="rId13">
        <w:r>
          <w:rPr>
            <w:rStyle w:val="Hyperlink"/>
          </w:rPr>
          <w:t xml:space="preserve">NIST SP 800-131A Rev. 2</w:t>
        </w:r>
      </w:hyperlink>
      <w:r>
        <w:t xml:space="preserve">, Transitioning the Use of Cryptographic Algorithms and Key Lengths (March 2019):</w:t>
      </w:r>
      <w:r>
        <w:t xml:space="preserve"> </w:t>
      </w:r>
      <w:r>
        <w:t xml:space="preserve">“For the Federal Government, a security strength of at least 112 bits is required at this time for applying cryptographic protection”</w:t>
      </w:r>
      <w:r>
        <w:t xml:space="preserve">. It also disallows three-key TDEA for encryption after December 31, 2023, and SHA-1 for digital signature generation except where NIST protocol guidance allows it. A third revision was published as a draft in October 2024 (as of September 2026); check it before the next review of this table.</w:t>
      </w:r>
    </w:p>
    <w:p>
      <w:pPr>
        <w:pStyle w:val="Guidance"/>
      </w:pPr>
      <w:r>
        <w:t xml:space="preserve">The example key lengths in the table are one reasonable choice, not a NIST list; SP 800-131A Rev. 2 and SP 800-57 Part 1 give the security strength of each algorithm and key length. ML-KEM (</w:t>
      </w:r>
      <w:hyperlink r:id="rId14">
        <w:r>
          <w:rPr>
            <w:rStyle w:val="Hyperlink"/>
          </w:rPr>
          <w:t xml:space="preserve">FIPS 203</w:t>
        </w:r>
      </w:hyperlink>
      <w:r>
        <w:t xml:space="preserve">) and ML-DSA (</w:t>
      </w:r>
      <w:hyperlink r:id="rId15">
        <w:r>
          <w:rPr>
            <w:rStyle w:val="Hyperlink"/>
          </w:rPr>
          <w:t xml:space="preserve">FIPS 204</w:t>
        </w:r>
      </w:hyperlink>
      <w:r>
        <w:t xml:space="preserve">), with SLH-DSA (</w:t>
      </w:r>
      <w:hyperlink r:id="rId16">
        <w:r>
          <w:rPr>
            <w:rStyle w:val="Hyperlink"/>
          </w:rPr>
          <w:t xml:space="preserve">FIPS 205</w:t>
        </w:r>
      </w:hyperlink>
      <w:r>
        <w:t xml:space="preserve">), are NIST’s post-quantum standards, all final on August 13, 2024. NIST’s plan for moving away from quantum-vulnerable algorithms,</w:t>
      </w:r>
      <w:r>
        <w:t xml:space="preserve"> </w:t>
      </w:r>
      <w:hyperlink r:id="rId17">
        <w:r>
          <w:rPr>
            <w:rStyle w:val="Hyperlink"/>
          </w:rPr>
          <w:t xml:space="preserve">NIST IR 8547</w:t>
        </w:r>
      </w:hyperlink>
      <w:r>
        <w:t xml:space="preserve">, Transition to Post-Quantum Cryptography Standards, is an initial public draft (November 12, 2024, as of September 2026).</w:t>
      </w:r>
    </w:p>
    <w:bookmarkEnd w:id="18"/>
    <w:bookmarkStart w:id="21" w:name="information-in-transit"/>
    <w:p>
      <w:pPr>
        <w:pStyle w:val="Heading2"/>
      </w:pPr>
      <w:r>
        <w:t xml:space="preserve">4. Information in transit</w:t>
      </w:r>
    </w:p>
    <w:p>
      <w:pPr>
        <w:pStyle w:val="Compact"/>
        <w:numPr>
          <w:ilvl w:val="0"/>
          <w:numId w:val="1002"/>
        </w:numPr>
      </w:pPr>
      <w:r>
        <w:t xml:space="preserve">Each system shall protect the</w:t>
      </w:r>
      <w:r>
        <w:t xml:space="preserve"> </w:t>
      </w:r>
      <w:r>
        <w:rPr>
          <w:rStyle w:val="Fill-in"/>
        </w:rPr>
        <w:t xml:space="preserve">[Select one or more: confidentiality; integrity. Typical: confidentiality and integrity]</w:t>
      </w:r>
      <w:r>
        <w:t xml:space="preserve"> </w:t>
      </w:r>
      <w:r>
        <w:t xml:space="preserve">of transmitted information, inside the system as well as across its boundary. (SC-8)</w:t>
      </w:r>
    </w:p>
    <w:p>
      <w:pPr>
        <w:pStyle w:val="Compact"/>
        <w:numPr>
          <w:ilvl w:val="0"/>
          <w:numId w:val="1002"/>
        </w:numPr>
      </w:pPr>
      <w:r>
        <w:t xml:space="preserve">Each system shall implement cryptographic mechanisms to</w:t>
      </w:r>
      <w:r>
        <w:t xml:space="preserve"> </w:t>
      </w:r>
      <w:r>
        <w:rPr>
          <w:rStyle w:val="Fill-in"/>
        </w:rPr>
        <w:t xml:space="preserve">[Select one or more: prevent unauthorized disclosure of information; detect changes to information. Typical: prevent unauthorized disclosure of information and detect changes to information]</w:t>
      </w:r>
      <w:r>
        <w:t xml:space="preserve"> </w:t>
      </w:r>
      <w:r>
        <w:t xml:space="preserve">during transmission. (SC-8(1))</w:t>
      </w:r>
    </w:p>
    <w:p>
      <w:pPr>
        <w:pStyle w:val="Compact"/>
        <w:numPr>
          <w:ilvl w:val="0"/>
          <w:numId w:val="1002"/>
        </w:numPr>
      </w:pPr>
      <w:r>
        <w:t xml:space="preserve">Connections shall use the protocols in the table below; cleartext protocols that carry information or credentials shall be disabled. (SC-8(1))</w:t>
      </w:r>
    </w:p>
    <w:p>
      <w:pPr>
        <w:pStyle w:val="Compact"/>
        <w:numPr>
          <w:ilvl w:val="0"/>
          <w:numId w:val="1002"/>
        </w:numPr>
      </w:pPr>
      <w:r>
        <w:t xml:space="preserve">TLS shall end no earlier than the component that needs the information; where a load balancer or gateway ends TLS, traffic from it to the system’s components shall be encrypted again. (SC-8(1))</w:t>
      </w:r>
    </w:p>
    <w:p>
      <w:pPr>
        <w:pStyle w:val="Compact"/>
        <w:numPr>
          <w:ilvl w:val="0"/>
          <w:numId w:val="1002"/>
        </w:numPr>
      </w:pPr>
      <w:r>
        <w:t xml:space="preserve">Clients shall validate the certificates of the services they connect to, and shall not be configured to accept any certificate. (SC-8(1))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Connection</w:t>
            </w:r>
          </w:p>
        </w:tc>
        <w:tc>
          <w:tcPr/>
          <w:p>
            <w:pPr>
              <w:pStyle w:val="Compact"/>
            </w:pPr>
            <w:r>
              <w:t xml:space="preserve">Approved</w:t>
            </w:r>
          </w:p>
        </w:tc>
        <w:tc>
          <w:tcPr/>
          <w:p>
            <w:pPr>
              <w:pStyle w:val="Compact"/>
            </w:pPr>
            <w:r>
              <w:t xml:space="preserve">Not allowed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Web, APIs and service to service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TLS 1.2 or 1.3 with approved cipher suites; TLS 1.3 supported]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SSL, TLS 1.0 and 1.1, HTTP]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Administration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SSH version 2, or TLS to a management console]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Telnet, rlogin]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 transfer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SFTP, FTPS or HTTPS]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FTP]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Site-to-site and remote access networks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IPsec or TLS virtual private networks, or a zero trust access service using TLS]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PPTP]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Database, directory and message queue connections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TLS, or LDAPS for directories]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unencrypted database or LDAP connections]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Email between mail servers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STARTTLS offered on every internet-facing mail server]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SSLv2, SSLv3, 3DES and RC4]</w:t>
            </w:r>
          </w:p>
        </w:tc>
      </w:tr>
    </w:tbl>
    <w:p>
      <w:pPr>
        <w:pStyle w:val="Guidance"/>
      </w:pPr>
      <w:hyperlink r:id="rId19">
        <w:r>
          <w:rPr>
            <w:rStyle w:val="Hyperlink"/>
          </w:rPr>
          <w:t xml:space="preserve">NIST SP 800-52 Rev. 2</w:t>
        </w:r>
      </w:hyperlink>
      <w:r>
        <w:t xml:space="preserve">, Guidelines for the Selection, Configuration, and Use of Transport Layer Security (TLS) Implementations (August 2019; NIST noted in May 2026 that it is under review), is the usual reference for TLS settings.</w:t>
      </w:r>
      <w:r>
        <w:t xml:space="preserve"> </w:t>
      </w:r>
      <w:hyperlink r:id="rId20">
        <w:r>
          <w:rPr>
            <w:rStyle w:val="Hyperlink"/>
          </w:rPr>
          <w:t xml:space="preserve">NIST SP 800-77 Rev. 1</w:t>
        </w:r>
      </w:hyperlink>
      <w:r>
        <w:t xml:space="preserve">, Guide to IPsec VPNs (June 2020), covers IPsec. Test the settings with a TLS configuration scanner against both external and internal endpoints: encryption at the edge only, with cleartext behind the load balancer, is a common finding.</w:t>
      </w:r>
    </w:p>
    <w:bookmarkEnd w:id="21"/>
    <w:bookmarkStart w:id="22" w:name="information-at-rest"/>
    <w:p>
      <w:pPr>
        <w:pStyle w:val="Heading2"/>
      </w:pPr>
      <w:r>
        <w:t xml:space="preserve">5. Information at rest</w:t>
      </w:r>
    </w:p>
    <w:p>
      <w:pPr>
        <w:pStyle w:val="Compact"/>
        <w:numPr>
          <w:ilvl w:val="0"/>
          <w:numId w:val="1003"/>
        </w:numPr>
      </w:pPr>
      <w:r>
        <w:t xml:space="preserve">Each system shall protect the</w:t>
      </w:r>
      <w:r>
        <w:t xml:space="preserve"> </w:t>
      </w:r>
      <w:r>
        <w:rPr>
          <w:rStyle w:val="Fill-in"/>
        </w:rPr>
        <w:t xml:space="preserve">[Select one or more: confidentiality; integrity. Typical: confidentiality and integrity]</w:t>
      </w:r>
      <w:r>
        <w:t xml:space="preserve"> </w:t>
      </w:r>
      <w:r>
        <w:t xml:space="preserve">of</w:t>
      </w:r>
      <w:r>
        <w:t xml:space="preserve"> </w:t>
      </w:r>
      <w:r>
        <w:rPr>
          <w:rStyle w:val="Fill-in"/>
        </w:rPr>
        <w:t xml:space="preserve">[Fill in: information at rest requiring protection. Typical: all information stored by the system, including backups]</w:t>
      </w:r>
      <w:r>
        <w:t xml:space="preserve">. (SC-28)</w:t>
      </w:r>
    </w:p>
    <w:p>
      <w:pPr>
        <w:pStyle w:val="Compact"/>
        <w:numPr>
          <w:ilvl w:val="0"/>
          <w:numId w:val="1003"/>
        </w:numPr>
      </w:pPr>
      <w:r>
        <w:t xml:space="preserve">Each system shall implement cryptographic mechanisms to prevent unauthorized disclosure and modification of</w:t>
      </w:r>
      <w:r>
        <w:t xml:space="preserve"> </w:t>
      </w:r>
      <w:r>
        <w:rPr>
          <w:rStyle w:val="Fill-in"/>
        </w:rPr>
        <w:t xml:space="preserve">[Fill in: information requiring cryptographic protection. Typical: all organizational information]</w:t>
      </w:r>
      <w:r>
        <w:t xml:space="preserve"> </w:t>
      </w:r>
      <w:r>
        <w:t xml:space="preserve">at rest on</w:t>
      </w:r>
      <w:r>
        <w:t xml:space="preserve"> </w:t>
      </w:r>
      <w:r>
        <w:rPr>
          <w:rStyle w:val="Fill-in"/>
        </w:rPr>
        <w:t xml:space="preserve">[Fill in: system components or media requiring cryptographic protection. Typical: servers, databases, storage services, backups, end-user devices and removable media]</w:t>
      </w:r>
      <w:r>
        <w:t xml:space="preserve">. (SC-28(1))</w:t>
      </w:r>
    </w:p>
    <w:p>
      <w:pPr>
        <w:pStyle w:val="Compact"/>
        <w:numPr>
          <w:ilvl w:val="0"/>
          <w:numId w:val="1003"/>
        </w:numPr>
      </w:pPr>
      <w:r>
        <w:t xml:space="preserve">Encryption shall be enforced by default, through cloud policy, device management or storage configuration, so that a new store or device is encrypted without a separate step. (SC-28(1))</w:t>
      </w:r>
    </w:p>
    <w:p>
      <w:pPr>
        <w:pStyle w:val="Compact"/>
        <w:numPr>
          <w:ilvl w:val="0"/>
          <w:numId w:val="1003"/>
        </w:numPr>
      </w:pPr>
      <w:r>
        <w:t xml:space="preserve">Backups, snapshots, replicas and exports shall be encrypted as strongly as the store they come from. (SC-28(1))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Store</w:t>
            </w:r>
          </w:p>
        </w:tc>
        <w:tc>
          <w:tcPr/>
          <w:p>
            <w:pPr>
              <w:pStyle w:val="Compact"/>
            </w:pPr>
            <w:r>
              <w:t xml:space="preserve">Method</w:t>
            </w:r>
          </w:p>
        </w:tc>
        <w:tc>
          <w:tcPr/>
          <w:p>
            <w:pPr>
              <w:pStyle w:val="Compact"/>
            </w:pPr>
            <w:r>
              <w:t xml:space="preserve">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Laptops, desktops and mobile devices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full-disk encryption managed by the endpoint management service]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device keys, with recovery keys escrowed centrally]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storage, block volumes and managed databases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provider encryption enabled by default]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customer-managed keys in the cloud key management service for sensitive data]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Databases the organization runs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transparent database encryption, and field-level encryption for the most sensitive values]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keys held in the key management service, not on the database server]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encrypted by the backup service]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keys stored apart from the backup copies]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Removable media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hardware-encrypted drives, or encryption applied by the endpoint management service]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 password or key held by the user, with recovery by the service desk]</w:t>
            </w:r>
          </w:p>
        </w:tc>
      </w:tr>
    </w:tbl>
    <w:bookmarkEnd w:id="22"/>
    <w:bookmarkStart w:id="24" w:name="key-management"/>
    <w:p>
      <w:pPr>
        <w:pStyle w:val="Heading2"/>
      </w:pPr>
      <w:r>
        <w:t xml:space="preserve">6. Key management</w:t>
      </w:r>
    </w:p>
    <w:p>
      <w:pPr>
        <w:pStyle w:val="Compact"/>
        <w:numPr>
          <w:ilvl w:val="0"/>
          <w:numId w:val="1004"/>
        </w:numPr>
      </w:pPr>
      <w:r>
        <w:t xml:space="preserve">Each system that uses cryptography shall establish and manage its cryptographic keys in accordance with the requirements in this section for key generation, distribution, storage, access and destruction. (SC-12)</w:t>
      </w:r>
    </w:p>
    <w:p>
      <w:pPr>
        <w:pStyle w:val="Compact"/>
        <w:numPr>
          <w:ilvl w:val="0"/>
          <w:numId w:val="1004"/>
        </w:numPr>
      </w:pPr>
      <w:r>
        <w:t xml:space="preserve">Keys shall be generated inside approved cryptographic modules, such as the key management service or a hardware security module, using an approved random bit generator. (SC-12)</w:t>
      </w:r>
    </w:p>
    <w:p>
      <w:pPr>
        <w:pStyle w:val="Compact"/>
        <w:numPr>
          <w:ilvl w:val="0"/>
          <w:numId w:val="1004"/>
        </w:numPr>
      </w:pPr>
      <w:r>
        <w:t xml:space="preserve">Keys shall be distributed only by approved key establishment methods or by wrapping them with another key, never in cleartext. (SC-12)</w:t>
      </w:r>
    </w:p>
    <w:p>
      <w:pPr>
        <w:pStyle w:val="Compact"/>
        <w:numPr>
          <w:ilvl w:val="0"/>
          <w:numId w:val="1004"/>
        </w:numPr>
      </w:pPr>
      <w:r>
        <w:t xml:space="preserve">Keys shall be stored in the key management service, a hardware security module or another approved module, and never in source code, configuration files, container images or the same store as the information they protect. (SC-12)</w:t>
      </w:r>
    </w:p>
    <w:p>
      <w:pPr>
        <w:pStyle w:val="Compact"/>
        <w:numPr>
          <w:ilvl w:val="0"/>
          <w:numId w:val="1004"/>
        </w:numPr>
      </w:pPr>
      <w:r>
        <w:t xml:space="preserve">Access to each key shall be limited to the services and people that need it. People who administer a key shall not also be able to use it to read the information it protects, and every use and administrative action on a key shall be logged. (SC-12)</w:t>
      </w:r>
    </w:p>
    <w:p>
      <w:pPr>
        <w:pStyle w:val="Compact"/>
        <w:numPr>
          <w:ilvl w:val="0"/>
          <w:numId w:val="1004"/>
        </w:numPr>
      </w:pPr>
      <w:r>
        <w:t xml:space="preserve">Keys shall be replaced at the end of the periods in the table below, and at once when a key is suspected to be compromised or a person with access to it leaves. (SC-12)</w:t>
      </w:r>
    </w:p>
    <w:p>
      <w:pPr>
        <w:pStyle w:val="Compact"/>
        <w:numPr>
          <w:ilvl w:val="0"/>
          <w:numId w:val="1004"/>
        </w:numPr>
      </w:pPr>
      <w:r>
        <w:t xml:space="preserve">Keys no longer needed shall be destroyed, together with every copy, once no information that needs them is kept; the destruction shall be recorded. (SC-12)</w:t>
      </w:r>
    </w:p>
    <w:p>
      <w:pPr>
        <w:pStyle w:val="Compact"/>
        <w:numPr>
          <w:ilvl w:val="0"/>
          <w:numId w:val="1004"/>
        </w:numPr>
      </w:pPr>
      <w:r>
        <w:t xml:space="preserve">The key management function shall keep an inventory of keys for each system: purpose, algorithm and length, location, owner, custodians, creation date and next replacement date. (SC-12)</w:t>
      </w:r>
    </w:p>
    <w:p>
      <w:pPr>
        <w:pStyle w:val="Compact"/>
        <w:numPr>
          <w:ilvl w:val="0"/>
          <w:numId w:val="1004"/>
        </w:numPr>
      </w:pPr>
      <w:r>
        <w:t xml:space="preserve">The key management function shall keep a key compromise plan saying who is told, how affected keys are revoked and replaced, and how information protected by them is re-protected. (SC-12)</w:t>
      </w:r>
    </w:p>
    <w:p>
      <w:pPr>
        <w:pStyle w:val="FirstParagraph"/>
      </w:pPr>
      <w:r>
        <w:t xml:space="preserve">This paragraph applies to High systems.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the availability of information when users lose cryptographic keys, by escrowing or backing up the keys that protect stored information, such as recovery keys for full-disk encryption. (SC-12(1))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Key type</w:t>
            </w:r>
          </w:p>
        </w:tc>
        <w:tc>
          <w:tcPr/>
          <w:p>
            <w:pPr>
              <w:pStyle w:val="Compact"/>
            </w:pPr>
            <w:r>
              <w:t xml:space="preserve">Maximum period of use</w:t>
            </w:r>
          </w:p>
        </w:tc>
        <w:tc>
          <w:tcPr/>
          <w:p>
            <w:pPr>
              <w:pStyle w:val="Compact"/>
            </w:pPr>
            <w:r>
              <w:t xml:space="preserve">Notes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Symmetric data encryption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2 years for applying protection]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automatic rotation in the key management service]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Key-wrapping (key encryption)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2 years]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notes]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Private signature keys, including code signing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1 to 3 years]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kept in a hardware security module]</w:t>
            </w:r>
          </w:p>
        </w:tc>
      </w:tr>
      <w:tr>
        <w:tc>
          <w:tcPr/>
          <w:p>
            <w:pPr>
              <w:pStyle w:val="Compact"/>
            </w:pPr>
            <w:r>
              <w:t xml:space="preserve">TLS server certificates and their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the certificate’s validity, and a new key at each renewal]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renewed automatically]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SSH host and user keys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1 year for user keys; host keys when the host is rebuilt]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notes]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Secrets and API keys used by services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90 days, or short-lived credentials issued at run time]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held in the secrets manager]</w:t>
            </w:r>
          </w:p>
        </w:tc>
      </w:tr>
    </w:tbl>
    <w:p>
      <w:pPr>
        <w:pStyle w:val="Guidance"/>
      </w:pPr>
      <w:hyperlink r:id="rId23">
        <w:r>
          <w:rPr>
            <w:rStyle w:val="Hyperlink"/>
          </w:rPr>
          <w:t xml:space="preserve">NIST SP 800-57 Part 1 Rev. 5</w:t>
        </w:r>
      </w:hyperlink>
      <w:r>
        <w:t xml:space="preserve">, Recommendation for Key Management: Part 1 – General (May 2020, the current revision as of September 2026), is the usual reference. Its Table 1 suggests cryptoperiods by key type, for example an originator-usage period of up to 2 years for symmetric data encryption keys and 1 to 3 years for private signature keys, and section 5.5 covers what to do when a key is compromised. Cloud key management services generate, store and rotate keys in validated modules; the decisions left to the organization are who may use and administer each key, and how long it lives.</w:t>
      </w:r>
    </w:p>
    <w:bookmarkEnd w:id="24"/>
    <w:bookmarkStart w:id="25" w:name="certificates"/>
    <w:p>
      <w:pPr>
        <w:pStyle w:val="Heading2"/>
      </w:pPr>
      <w:r>
        <w:t xml:space="preserve">7. Certificates</w:t>
      </w:r>
    </w:p>
    <w:p>
      <w:pPr>
        <w:pStyle w:val="Compact"/>
        <w:numPr>
          <w:ilvl w:val="0"/>
          <w:numId w:val="1006"/>
        </w:numPr>
      </w:pPr>
      <w:r>
        <w:t xml:space="preserve">Public key certificates shall be issued under</w:t>
      </w:r>
      <w:r>
        <w:t xml:space="preserve"> </w:t>
      </w:r>
      <w:r>
        <w:rPr>
          <w:rStyle w:val="Fill-in"/>
        </w:rPr>
        <w:t xml:space="preserve">[Fill in: a certificate policy for issuing public key certificates. Typical: the organization’s certificate policy]</w:t>
      </w:r>
      <w:r>
        <w:t xml:space="preserve">, or obtained from an approved service provider. (SC-17a)</w:t>
      </w:r>
    </w:p>
    <w:p>
      <w:pPr>
        <w:pStyle w:val="Compact"/>
        <w:numPr>
          <w:ilvl w:val="0"/>
          <w:numId w:val="1006"/>
        </w:numPr>
      </w:pPr>
      <w:r>
        <w:t xml:space="preserve">Only approved trust anchors shall be included in trust stores or certificate stores the organization manages. (SC-17b)</w:t>
      </w:r>
    </w:p>
    <w:p>
      <w:pPr>
        <w:pStyle w:val="Compact"/>
        <w:numPr>
          <w:ilvl w:val="0"/>
          <w:numId w:val="1006"/>
        </w:numPr>
      </w:pPr>
      <w:r>
        <w:t xml:space="preserve">The key management function shall keep an inventory of certificates in use, with their owners and expiry dates, and warn owners at least</w:t>
      </w:r>
      <w:r>
        <w:t xml:space="preserve"> </w:t>
      </w:r>
      <w:r>
        <w:rPr>
          <w:rStyle w:val="Fill-in"/>
        </w:rPr>
        <w:t xml:space="preserve">[Fill in: for example 30 days]</w:t>
      </w:r>
      <w:r>
        <w:t xml:space="preserve"> </w:t>
      </w:r>
      <w:r>
        <w:t xml:space="preserve">before a certificate expires. (SC-17a)</w:t>
      </w:r>
    </w:p>
    <w:p>
      <w:pPr>
        <w:pStyle w:val="Compact"/>
        <w:numPr>
          <w:ilvl w:val="0"/>
          <w:numId w:val="1006"/>
        </w:numPr>
      </w:pPr>
      <w:r>
        <w:t xml:space="preserve">Certificates shall be renewed automatically where the service supports it. A certificate whose private key is compromised shall be revoked at once. (SC-17a)</w:t>
      </w:r>
    </w:p>
    <w:bookmarkEnd w:id="25"/>
    <w:bookmarkStart w:id="30" w:name="cryptographic-inventory"/>
    <w:p>
      <w:pPr>
        <w:pStyle w:val="Heading2"/>
      </w:pPr>
      <w:r>
        <w:t xml:space="preserve">8. Cryptographic inventory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record in the system security plan where the system uses cryptography, the algorithm and module used for each use, and the module’s validation certificate number. (SC-13b)</w:t>
      </w:r>
    </w:p>
    <w:p>
      <w:pPr>
        <w:pStyle w:val="Compact"/>
        <w:numPr>
          <w:ilvl w:val="0"/>
          <w:numId w:val="1007"/>
        </w:numPr>
      </w:pPr>
      <w:r>
        <w:t xml:space="preserve">The key management function shall keep an organization-wide cryptographic inventory from these records, and use it to find cryptography that must be replaced when an algorithm or module is no longer approved. (SC-13a)</w:t>
      </w:r>
    </w:p>
    <w:p>
      <w:pPr>
        <w:pStyle w:val="Guidance"/>
      </w:pPr>
      <w:r>
        <w:t xml:space="preserve">A cryptographic inventory answers the assessor’s question</w:t>
      </w:r>
      <w:r>
        <w:t xml:space="preserve"> </w:t>
      </w:r>
      <w:r>
        <w:t xml:space="preserve">“where is cryptography used, and is it validated?”</w:t>
      </w:r>
      <w:r>
        <w:t xml:space="preserve">, and it is the starting point for the move to post-quantum algorithms. Build it from the system security plans, TLS scans, the certificate inventory and the key management service, rather than by hand.</w:t>
      </w:r>
    </w:p>
    <w:bookmarkStart w:id="29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hyperlink r:id="rId26">
        <w:r>
          <w:rPr>
            <w:rStyle w:val="Hyperlink"/>
          </w:rPr>
          <w:t xml:space="preserve">FIPS 140-3</w:t>
        </w:r>
      </w:hyperlink>
      <w:r>
        <w:t xml:space="preserve"> </w:t>
      </w:r>
      <w:r>
        <w:t xml:space="preserve">(March 22, 2019)</w:t>
      </w:r>
      <w:r>
        <w:t xml:space="preserve"> </w:t>
      </w:r>
      <w:r>
        <w:t xml:space="preserve">“is applicable to all Federal agencies that use cryptography-based security systems to protect sensitive information”</w:t>
      </w:r>
      <w:r>
        <w:t xml:space="preserve">, and modules validated under NIST’s Cryptographic Module Validation Program (CMVP) are considered to conform to it. The CMVP’s</w:t>
      </w:r>
      <w:r>
        <w:t xml:space="preserve"> </w:t>
      </w:r>
      <w:hyperlink r:id="rId27">
        <w:r>
          <w:rPr>
            <w:rStyle w:val="Hyperlink"/>
          </w:rPr>
          <w:t xml:space="preserve">FIPS 140-3 transition page</w:t>
        </w:r>
      </w:hyperlink>
      <w:r>
        <w:t xml:space="preserve"> </w:t>
      </w:r>
      <w:r>
        <w:t xml:space="preserve">sets the schedule for moving all FIPS 140-2 certificates to the Historical List on September 22, 2026; modules on the Historical List remain supported for existing systems, but should not be used for procurement decisions (as of September 2026).</w:t>
      </w:r>
    </w:p>
    <w:p>
      <w:pPr>
        <w:pStyle w:val="BodyText"/>
      </w:pPr>
      <w:r>
        <w:t xml:space="preserve">CISA</w:t>
      </w:r>
      <w:r>
        <w:t xml:space="preserve"> </w:t>
      </w:r>
      <w:hyperlink r:id="rId28">
        <w:r>
          <w:rPr>
            <w:rStyle w:val="Hyperlink"/>
          </w:rPr>
          <w:t xml:space="preserve">Binding Operational Directive 18-01</w:t>
        </w:r>
      </w:hyperlink>
      <w:r>
        <w:t xml:space="preserve">, Enhance Email and Web Security (October 16, 2017), requires HTTPS-only service with HTTP Strict Transport Security for publicly accessible federal websites and web services, STARTTLS on internet-facing mail servers, and SSLv2, SSLv3, 3DES and RC4 disabled on mail servers. CISA’s directive page does not mark it revoked (as of September 2026).</w:t>
      </w:r>
    </w:p>
    <w:p>
      <w:pPr>
        <w:pStyle w:val="Compact"/>
        <w:numPr>
          <w:ilvl w:val="0"/>
          <w:numId w:val="1008"/>
        </w:numPr>
      </w:pPr>
      <w:r>
        <w:t xml:space="preserve">Cryptography that protects sensitive information shall use modules validated by the CMVP, and new systems and new purchases shall use FIPS 140-3 validated modules. (SC-13b)</w:t>
      </w:r>
    </w:p>
    <w:p>
      <w:pPr>
        <w:pStyle w:val="Compact"/>
        <w:numPr>
          <w:ilvl w:val="0"/>
          <w:numId w:val="1008"/>
        </w:numPr>
      </w:pPr>
      <w:r>
        <w:t xml:space="preserve">Each publicly accessible website and web service shall provide service only through HTTPS, with HTTP Strict Transport Security. (SC-8)</w:t>
      </w:r>
    </w:p>
    <w:p>
      <w:pPr>
        <w:pStyle w:val="Compact"/>
        <w:numPr>
          <w:ilvl w:val="0"/>
          <w:numId w:val="1008"/>
        </w:numPr>
      </w:pPr>
      <w:r>
        <w:t xml:space="preserve">Each internet-facing mail server shall offer STARTTLS, with SSLv2, SSLv3, 3DES and RC4 disabled. (SC-8)</w:t>
      </w:r>
    </w:p>
    <w:bookmarkEnd w:id="29"/>
    <w:bookmarkEnd w:id="30"/>
    <w:bookmarkStart w:id="31" w:name="exceptions"/>
    <w:p>
      <w:pPr>
        <w:pStyle w:val="Heading2"/>
      </w:pPr>
      <w:r>
        <w:t xml:space="preserve">9. Exceptions</w:t>
      </w:r>
    </w:p>
    <w:p>
      <w:pPr>
        <w:pStyle w:val="Compact"/>
        <w:numPr>
          <w:ilvl w:val="0"/>
          <w:numId w:val="1009"/>
        </w:numPr>
      </w:pPr>
      <w:r>
        <w:t xml:space="preserve">A system that cannot meet this standard shall record the gap in its plan of action and milestones, with a planned date, and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approve any compensating measure. (CA-5)</w:t>
      </w:r>
    </w:p>
    <w:p>
      <w:pPr>
        <w:pStyle w:val="Compact"/>
        <w:numPr>
          <w:ilvl w:val="0"/>
          <w:numId w:val="1009"/>
        </w:numPr>
      </w:pPr>
      <w:r>
        <w:t xml:space="preserve">An exception shall name the system, the requirement not met, the reason, the compensating measures and an expiry date, and shall be reviewed</w:t>
      </w:r>
      <w:r>
        <w:t xml:space="preserve"> </w:t>
      </w:r>
      <w:r>
        <w:rPr>
          <w:rStyle w:val="Fill-in"/>
        </w:rPr>
        <w:t xml:space="preserve">[Fill in: for example quarterly]</w:t>
      </w:r>
      <w:r>
        <w:t xml:space="preserve"> </w:t>
      </w:r>
      <w:r>
        <w:t xml:space="preserve">and at expiry. (RA-7)</w:t>
      </w:r>
    </w:p>
    <w:bookmarkEnd w:id="31"/>
    <w:bookmarkStart w:id="32" w:name="review"/>
    <w:p>
      <w:pPr>
        <w:pStyle w:val="Heading2"/>
      </w:pPr>
      <w:r>
        <w:t xml:space="preserve">10. Review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reviews this standard</w:t>
      </w:r>
      <w:r>
        <w:t xml:space="preserve"> </w:t>
      </w:r>
      <w:r>
        <w:rPr>
          <w:rStyle w:val="Fill-in"/>
        </w:rPr>
        <w:t xml:space="preserve">[Fill in: for example annually]</w:t>
      </w:r>
      <w:r>
        <w:t xml:space="preserve">, and whenever NIST approves, deprecates or disallows an algorithm, a module used by the organization loses its validation, or the system and communications protection policy changes.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Approved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version]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summary of change]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End w:id="32"/>
    <w:bookmarkEnd w:id="33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Encryption and Key Management Standard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7" Target="https://csrc.nist.gov/projects/fips-140-3-transition-effort" TargetMode="External" /><Relationship Type="http://schemas.openxmlformats.org/officeDocument/2006/relationships/hyperlink" Id="rId26" Target="https://csrc.nist.gov/pubs/fips/140-3/final" TargetMode="External" /><Relationship Type="http://schemas.openxmlformats.org/officeDocument/2006/relationships/hyperlink" Id="rId14" Target="https://csrc.nist.gov/pubs/fips/203/final" TargetMode="External" /><Relationship Type="http://schemas.openxmlformats.org/officeDocument/2006/relationships/hyperlink" Id="rId15" Target="https://csrc.nist.gov/pubs/fips/204/final" TargetMode="External" /><Relationship Type="http://schemas.openxmlformats.org/officeDocument/2006/relationships/hyperlink" Id="rId16" Target="https://csrc.nist.gov/pubs/fips/205/final" TargetMode="External" /><Relationship Type="http://schemas.openxmlformats.org/officeDocument/2006/relationships/hyperlink" Id="rId17" Target="https://csrc.nist.gov/pubs/ir/8547/ipd" TargetMode="External" /><Relationship Type="http://schemas.openxmlformats.org/officeDocument/2006/relationships/hyperlink" Id="rId13" Target="https://csrc.nist.gov/pubs/sp/800/131/a/r2/final" TargetMode="External" /><Relationship Type="http://schemas.openxmlformats.org/officeDocument/2006/relationships/hyperlink" Id="rId19" Target="https://csrc.nist.gov/pubs/sp/800/52/r2/final" TargetMode="External" /><Relationship Type="http://schemas.openxmlformats.org/officeDocument/2006/relationships/hyperlink" Id="rId23" Target="https://csrc.nist.gov/pubs/sp/800/57/pt1/r5/final" TargetMode="External" /><Relationship Type="http://schemas.openxmlformats.org/officeDocument/2006/relationships/hyperlink" Id="rId20" Target="https://csrc.nist.gov/pubs/sp/800/77/r1/final" TargetMode="External" /><Relationship Type="http://schemas.openxmlformats.org/officeDocument/2006/relationships/hyperlink" Id="rId9" Target="https://kston83.github.io/nist-guide/templates/standards/encryption-and-key-management-standard/" TargetMode="External" /><Relationship Type="http://schemas.openxmlformats.org/officeDocument/2006/relationships/hyperlink" Id="rId28" Target="https://www.cisa.gov/news-events/directives/bod-18-01-enhance-email-and-web-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7" Target="https://csrc.nist.gov/projects/fips-140-3-transition-effort" TargetMode="External" /><Relationship Type="http://schemas.openxmlformats.org/officeDocument/2006/relationships/hyperlink" Id="rId26" Target="https://csrc.nist.gov/pubs/fips/140-3/final" TargetMode="External" /><Relationship Type="http://schemas.openxmlformats.org/officeDocument/2006/relationships/hyperlink" Id="rId14" Target="https://csrc.nist.gov/pubs/fips/203/final" TargetMode="External" /><Relationship Type="http://schemas.openxmlformats.org/officeDocument/2006/relationships/hyperlink" Id="rId15" Target="https://csrc.nist.gov/pubs/fips/204/final" TargetMode="External" /><Relationship Type="http://schemas.openxmlformats.org/officeDocument/2006/relationships/hyperlink" Id="rId16" Target="https://csrc.nist.gov/pubs/fips/205/final" TargetMode="External" /><Relationship Type="http://schemas.openxmlformats.org/officeDocument/2006/relationships/hyperlink" Id="rId17" Target="https://csrc.nist.gov/pubs/ir/8547/ipd" TargetMode="External" /><Relationship Type="http://schemas.openxmlformats.org/officeDocument/2006/relationships/hyperlink" Id="rId13" Target="https://csrc.nist.gov/pubs/sp/800/131/a/r2/final" TargetMode="External" /><Relationship Type="http://schemas.openxmlformats.org/officeDocument/2006/relationships/hyperlink" Id="rId19" Target="https://csrc.nist.gov/pubs/sp/800/52/r2/final" TargetMode="External" /><Relationship Type="http://schemas.openxmlformats.org/officeDocument/2006/relationships/hyperlink" Id="rId23" Target="https://csrc.nist.gov/pubs/sp/800/57/pt1/r5/final" TargetMode="External" /><Relationship Type="http://schemas.openxmlformats.org/officeDocument/2006/relationships/hyperlink" Id="rId20" Target="https://csrc.nist.gov/pubs/sp/800/77/r1/final" TargetMode="External" /><Relationship Type="http://schemas.openxmlformats.org/officeDocument/2006/relationships/hyperlink" Id="rId9" Target="https://kston83.github.io/nist-guide/templates/standards/encryption-and-key-management-standard/" TargetMode="External" /><Relationship Type="http://schemas.openxmlformats.org/officeDocument/2006/relationships/hyperlink" Id="rId28" Target="https://www.cisa.gov/news-events/directives/bod-18-01-enhance-email-and-web-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