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X06fe94486987d6911dd7c701052e3d7d981ffd8"/>
    <w:p>
      <w:pPr>
        <w:pStyle w:val="Heading1"/>
      </w:pPr>
      <w:r>
        <w:t xml:space="preserve">Identification and Authentication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https://kston83.github.io/nist-guide/templates/standards/identification-and-authentication-standard/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requirements for identifying and authenticating the users, processes and devices that access the systems of</w:t>
      </w:r>
      <w:r>
        <w:t xml:space="preserve"> </w:t>
      </w:r>
      <w:r>
        <w:rPr>
          <w:rStyle w:val="Fill-in"/>
        </w:rPr>
        <w:t xml:space="preserve">[Organization name]</w:t>
      </w:r>
      <w:r>
        <w:t xml:space="preserve">. It covers employees, contractors, partners, customers and members of the public, the accounts that services and applications use, and the devices that connect to organizational networks. It applies to every system in the system inventory, including cloud services, and to every way of signing in: web and application sign-in, local consoles, command-line and remote administration, and application programming interfaces.</w:t>
      </w:r>
    </w:p>
    <w:p>
      <w:pPr>
        <w:pStyle w:val="BodyText"/>
      </w:pPr>
      <w:r>
        <w:t xml:space="preserve">Part A applies across the organization. Each system completes Part B.</w:t>
      </w:r>
    </w:p>
    <w:bookmarkEnd w:id="11"/>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selects the approved authenticators; approves exceptions; approves external identity providers the organization trusts</w:t>
            </w:r>
          </w:p>
        </w:tc>
      </w:tr>
      <w:tr>
        <w:tc>
          <w:tcPr/>
          <w:p>
            <w:pPr>
              <w:pStyle w:val="Compact"/>
            </w:pPr>
            <w:r>
              <w:rPr>
                <w:rStyle w:val="Fill-in"/>
              </w:rPr>
              <w:t xml:space="preserve">[Fill in: identity provider owner, for example the identity and access management team]</w:t>
            </w:r>
          </w:p>
        </w:tc>
        <w:tc>
          <w:tcPr/>
          <w:p>
            <w:pPr>
              <w:pStyle w:val="Compact"/>
            </w:pPr>
            <w:r>
              <w:t xml:space="preserve">Runs the enterprise identity provider, the multi-factor authentication service and the self-service and recovery processes; keeps them configured to this standard</w:t>
            </w:r>
          </w:p>
        </w:tc>
      </w:tr>
      <w:tr>
        <w:tc>
          <w:tcPr/>
          <w:p>
            <w:pPr>
              <w:pStyle w:val="Compact"/>
            </w:pPr>
            <w:r>
              <w:rPr>
                <w:rStyle w:val="Fill-in"/>
              </w:rPr>
              <w:t xml:space="preserve">[Account manager]</w:t>
            </w:r>
          </w:p>
        </w:tc>
        <w:tc>
          <w:tcPr/>
          <w:p>
            <w:pPr>
              <w:pStyle w:val="Compact"/>
            </w:pPr>
            <w:r>
              <w:t xml:space="preserve">Assigns identifiers, issues and replaces authenticators, verifies identity before issuing or resetting them, and revokes them</w:t>
            </w:r>
          </w:p>
        </w:tc>
      </w:tr>
      <w:tr>
        <w:tc>
          <w:tcPr/>
          <w:p>
            <w:pPr>
              <w:pStyle w:val="Compact"/>
            </w:pPr>
            <w:r>
              <w:rPr>
                <w:rStyle w:val="Fill-in"/>
              </w:rPr>
              <w:t xml:space="preserve">[System owner]</w:t>
            </w:r>
          </w:p>
        </w:tc>
        <w:tc>
          <w:tcPr/>
          <w:p>
            <w:pPr>
              <w:pStyle w:val="Compact"/>
            </w:pPr>
            <w:r>
              <w:t xml:space="preserve">Completes Part B; selects the system’s assurance levels; makes the system use the enterprise identity provider or meet this standard itself; manages the system’s local, service and device credentials</w:t>
            </w:r>
          </w:p>
        </w:tc>
      </w:tr>
      <w:tr>
        <w:tc>
          <w:tcPr/>
          <w:p>
            <w:pPr>
              <w:pStyle w:val="Compact"/>
            </w:pPr>
            <w:r>
              <w:rPr>
                <w:rStyle w:val="Fill-in"/>
              </w:rPr>
              <w:t xml:space="preserve">[Security operations team]</w:t>
            </w:r>
          </w:p>
        </w:tc>
        <w:tc>
          <w:tcPr/>
          <w:p>
            <w:pPr>
              <w:pStyle w:val="Compact"/>
            </w:pPr>
            <w:r>
              <w:t xml:space="preserve">Monitors authentication logs and alerts, and responds to suspected compromise of accounts and authenticators</w:t>
            </w:r>
          </w:p>
        </w:tc>
      </w:tr>
      <w:tr>
        <w:tc>
          <w:tcPr/>
          <w:p>
            <w:pPr>
              <w:pStyle w:val="Compact"/>
            </w:pPr>
            <w:r>
              <w:t xml:space="preserve">Users</w:t>
            </w:r>
          </w:p>
        </w:tc>
        <w:tc>
          <w:tcPr/>
          <w:p>
            <w:pPr>
              <w:pStyle w:val="Compact"/>
            </w:pPr>
            <w:r>
              <w:t xml:space="preserve">Protect their authenticators and report loss or suspected compromise at once, as the</w:t>
            </w:r>
            <w:r>
              <w:t xml:space="preserve"> </w:t>
            </w:r>
            <w:hyperlink r:id="rId12">
              <w:r>
                <w:rPr>
                  <w:rStyle w:val="Hyperlink"/>
                </w:rPr>
                <w:t xml:space="preserve">Rules of Behavior</w:t>
              </w:r>
            </w:hyperlink>
            <w:r>
              <w:t xml:space="preserve"> </w:t>
            </w:r>
            <w:r>
              <w:t xml:space="preserve">require</w:t>
            </w:r>
          </w:p>
        </w:tc>
      </w:tr>
    </w:tbl>
    <w:bookmarkEnd w:id="13"/>
    <w:bookmarkStart w:id="39" w:name="part-a.-organization-wide-requirements"/>
    <w:p>
      <w:pPr>
        <w:pStyle w:val="Heading2"/>
      </w:pPr>
      <w:r>
        <w:t xml:space="preserve">Part A. Organization-wide requirements</w:t>
      </w:r>
    </w:p>
    <w:bookmarkStart w:id="14" w:name="assurance-levels"/>
    <w:p>
      <w:pPr>
        <w:pStyle w:val="Heading3"/>
      </w:pPr>
      <w:r>
        <w:t xml:space="preserve">3. Assurance levels</w:t>
      </w:r>
    </w:p>
    <w:p>
      <w:pPr>
        <w:pStyle w:val="Compact"/>
        <w:numPr>
          <w:ilvl w:val="0"/>
          <w:numId w:val="1001"/>
        </w:numPr>
      </w:pPr>
      <w:r>
        <w:t xml:space="preserve">Each system owner shall select, for each group of users of the system, an authentication assurance level (AAL), and an identity assurance level (IAL) and federation assurance level (FAL) where identity proofing or federation is used, through the digital identity risk management process of NIST SP 800-63-4, and record them in Part B. (IA-2)</w:t>
      </w:r>
    </w:p>
    <w:p>
      <w:pPr>
        <w:pStyle w:val="Compact"/>
        <w:numPr>
          <w:ilvl w:val="0"/>
          <w:numId w:val="1001"/>
        </w:numPr>
      </w:pPr>
      <w:r>
        <w:t xml:space="preserve">The initial levels shall follow the effective impact level found for the user group: AAL1, IAL1 and FAL1 for low impact; AAL2, IAL2 and FAL2 for moderate impact; AAL3 and IAL3 for high impact, with FAL2 or FAL3 chosen after assessing the risk of a compromised identity provider. (IA-2)</w:t>
      </w:r>
    </w:p>
    <w:p>
      <w:pPr>
        <w:pStyle w:val="Compact"/>
        <w:numPr>
          <w:ilvl w:val="0"/>
          <w:numId w:val="1001"/>
        </w:numPr>
      </w:pPr>
      <w:r>
        <w:t xml:space="preserve">Users who need accounts shall be identity proofed at the IAL that Part B records for their group, following NIST SP 800-63A-4, before an account or authenticator is issued to them. (IA-12a)</w:t>
      </w:r>
    </w:p>
    <w:p>
      <w:pPr>
        <w:pStyle w:val="Compact"/>
        <w:numPr>
          <w:ilvl w:val="0"/>
          <w:numId w:val="1001"/>
        </w:numPr>
      </w:pPr>
      <w:r>
        <w:t xml:space="preserve">A level tailored below its initial level shall be recorded with its rationale, compensating controls and residual risk, and approved by the authorizing official, who accepts that risk. (IA-2)</w:t>
      </w:r>
    </w:p>
    <w:p>
      <w:pPr>
        <w:pStyle w:val="Compact"/>
        <w:numPr>
          <w:ilvl w:val="0"/>
          <w:numId w:val="1001"/>
        </w:numPr>
      </w:pPr>
      <w:r>
        <w:t xml:space="preserve">Accounts that can perform privileged functions shall authenticate at AAL3, or with a phishing-resistant authenticator whose private key cannot be exported, as section 6 requires. (IA-2(1))</w:t>
      </w:r>
    </w:p>
    <w:bookmarkEnd w:id="14"/>
    <w:bookmarkStart w:id="16" w:name="identifiers"/>
    <w:p>
      <w:pPr>
        <w:pStyle w:val="Heading3"/>
      </w:pPr>
      <w:r>
        <w:t xml:space="preserve">4. Identifiers</w:t>
      </w:r>
    </w:p>
    <w:p>
      <w:pPr>
        <w:pStyle w:val="Compact"/>
        <w:numPr>
          <w:ilvl w:val="0"/>
          <w:numId w:val="1002"/>
        </w:numPr>
      </w:pPr>
      <w:r>
        <w:t xml:space="preserve">Each user shall have an individual identifier, used by one person only, and each process acting on a user’s behalf shall carry that user’s identifier. (IA-2)</w:t>
      </w:r>
    </w:p>
    <w:p>
      <w:pPr>
        <w:pStyle w:val="Compact"/>
        <w:numPr>
          <w:ilvl w:val="0"/>
          <w:numId w:val="1002"/>
        </w:numPr>
      </w:pPr>
      <w:r>
        <w:t xml:space="preserve">An identifier shall be assigned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to the intended individual, group, role, service or device. (IA-4a)</w:t>
      </w:r>
    </w:p>
    <w:p>
      <w:pPr>
        <w:pStyle w:val="Compact"/>
        <w:numPr>
          <w:ilvl w:val="0"/>
          <w:numId w:val="1002"/>
        </w:numPr>
      </w:pPr>
      <w:r>
        <w:t xml:space="preserve">Identifiers for people shall be built from the authoritative personnel record, so that two people never share one, and identifiers for services and devices shall follow the naming convention in Part B. (IA-4b)</w:t>
      </w:r>
    </w:p>
    <w:p>
      <w:pPr>
        <w:pStyle w:val="Compact"/>
        <w:numPr>
          <w:ilvl w:val="0"/>
          <w:numId w:val="1002"/>
        </w:numPr>
      </w:pPr>
      <w:r>
        <w:t xml:space="preserve">Identifiers shall not be reused for</w:t>
      </w:r>
      <w:r>
        <w:t xml:space="preserve"> </w:t>
      </w:r>
      <w:r>
        <w:rPr>
          <w:rStyle w:val="Fill-in"/>
        </w:rPr>
        <w:t xml:space="preserve">[Fill in: a time period for preventing reuse of identifiers. Typical: at least two years]</w:t>
      </w:r>
      <w:r>
        <w:t xml:space="preserve">. (IA-4d)</w:t>
      </w:r>
    </w:p>
    <w:p>
      <w:pPr>
        <w:pStyle w:val="Compact"/>
        <w:numPr>
          <w:ilvl w:val="0"/>
          <w:numId w:val="1002"/>
        </w:numPr>
      </w:pPr>
      <w:r>
        <w:t xml:space="preserve">Each individual’s identifier or directory record shall show the person’s status as</w:t>
      </w:r>
      <w:r>
        <w:t xml:space="preserve"> </w:t>
      </w:r>
      <w:r>
        <w:rPr>
          <w:rStyle w:val="Fill-in"/>
        </w:rPr>
        <w:t xml:space="preserve">[Fill in: characteristics used to identify individual status. Typical: employee, contractor, or foreign national]</w:t>
      </w:r>
      <w:r>
        <w:t xml:space="preserve">. (IA-4(4))</w:t>
      </w:r>
    </w:p>
    <w:p>
      <w:pPr>
        <w:pStyle w:val="Compact"/>
        <w:numPr>
          <w:ilvl w:val="0"/>
          <w:numId w:val="1002"/>
        </w:numPr>
      </w:pPr>
      <w:r>
        <w:t xml:space="preserve">Shared and group accounts shall be allowed only as the</w:t>
      </w:r>
      <w:r>
        <w:t xml:space="preserve"> </w:t>
      </w:r>
      <w:hyperlink r:id="rId15">
        <w:r>
          <w:rPr>
            <w:rStyle w:val="Hyperlink"/>
          </w:rPr>
          <w:t xml:space="preserve">account management procedure</w:t>
        </w:r>
      </w:hyperlink>
      <w:r>
        <w:t xml:space="preserve"> </w:t>
      </w:r>
      <w:r>
        <w:t xml:space="preserve">permits, and their users shall authenticate individually first wherever the system supports it. (IA-2)</w:t>
      </w:r>
    </w:p>
    <w:p>
      <w:pPr>
        <w:pStyle w:val="Compact"/>
        <w:numPr>
          <w:ilvl w:val="0"/>
          <w:numId w:val="1002"/>
        </w:numPr>
      </w:pPr>
      <w:r>
        <w:t xml:space="preserve">Each person who performs privileged functions shall use a privileged account separate from the account used for email and web browsing. (IA-2(1))</w:t>
      </w:r>
    </w:p>
    <w:bookmarkEnd w:id="16"/>
    <w:bookmarkStart w:id="18" w:name="approved-authenticators"/>
    <w:p>
      <w:pPr>
        <w:pStyle w:val="Heading3"/>
      </w:pPr>
      <w:r>
        <w:t xml:space="preserve">5. Approved authenticators</w:t>
      </w:r>
    </w:p>
    <w:p>
      <w:pPr>
        <w:pStyle w:val="Compact"/>
        <w:numPr>
          <w:ilvl w:val="0"/>
          <w:numId w:val="1003"/>
        </w:numPr>
      </w:pPr>
      <w:r>
        <w:t xml:space="preserve">Only the authenticator types in this table shall be used, each only for the uses the table allows. (IA-5c)</w:t>
      </w:r>
    </w:p>
    <w:p>
      <w:pPr>
        <w:pStyle w:val="Compact"/>
        <w:numPr>
          <w:ilvl w:val="0"/>
          <w:numId w:val="1003"/>
        </w:numPr>
      </w:pPr>
      <w:r>
        <w:t xml:space="preserve">Every authenticator shall use approved cryptography where it uses cryptography, as the</w:t>
      </w:r>
      <w:r>
        <w:t xml:space="preserve"> </w:t>
      </w:r>
      <w:hyperlink r:id="rId17">
        <w:r>
          <w:rPr>
            <w:rStyle w:val="Hyperlink"/>
          </w:rPr>
          <w:t xml:space="preserve">encryption and key management standard</w:t>
        </w:r>
      </w:hyperlink>
      <w:r>
        <w:t xml:space="preserve"> </w:t>
      </w:r>
      <w:r>
        <w:t xml:space="preserve">sets. (IA-5c)</w:t>
      </w:r>
    </w:p>
    <w:p>
      <w:pPr>
        <w:pStyle w:val="Compact"/>
        <w:numPr>
          <w:ilvl w:val="0"/>
          <w:numId w:val="1003"/>
        </w:numPr>
      </w:pPr>
      <w:r>
        <w:t xml:space="preserve">Authentication shall pass over an authenticated, encrypted channel. (IA-5c)</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Authenticator type (SP 800-63B-4 section)</w:t>
            </w:r>
          </w:p>
        </w:tc>
        <w:tc>
          <w:tcPr/>
          <w:p>
            <w:pPr>
              <w:pStyle w:val="Compact"/>
            </w:pPr>
            <w:r>
              <w:t xml:space="preserve">Phishing-resistant</w:t>
            </w:r>
          </w:p>
        </w:tc>
        <w:tc>
          <w:tcPr/>
          <w:p>
            <w:pPr>
              <w:pStyle w:val="Compact"/>
            </w:pPr>
            <w:r>
              <w:t xml:space="preserve">Replay-resistant</w:t>
            </w:r>
          </w:p>
        </w:tc>
        <w:tc>
          <w:tcPr/>
          <w:p>
            <w:pPr>
              <w:pStyle w:val="Compact"/>
            </w:pPr>
            <w:r>
              <w:t xml:space="preserve">Typical use</w:t>
            </w:r>
          </w:p>
        </w:tc>
      </w:tr>
      <w:tr>
        <w:tc>
          <w:tcPr/>
          <w:p>
            <w:pPr>
              <w:pStyle w:val="Compact"/>
            </w:pPr>
            <w:r>
              <w:t xml:space="preserve">Smart card with a certificate, such as a PIV card (3.1.7)</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all access, including privileged]</w:t>
            </w:r>
          </w:p>
        </w:tc>
      </w:tr>
      <w:tr>
        <w:tc>
          <w:tcPr/>
          <w:p>
            <w:pPr>
              <w:pStyle w:val="Compact"/>
            </w:pPr>
            <w:r>
              <w:t xml:space="preserve">Hardware security key, FIDO2 or WebAuthn, device-bound (3.1.6, 3.1.7)</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all access, including privileged]</w:t>
            </w:r>
          </w:p>
        </w:tc>
      </w:tr>
      <w:tr>
        <w:tc>
          <w:tcPr/>
          <w:p>
            <w:pPr>
              <w:pStyle w:val="Compact"/>
            </w:pPr>
            <w:r>
              <w:t xml:space="preserve">Platform authenticator or passkey bound to a managed device (3.1.7)</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all access; privileged only where the key cannot be exported]</w:t>
            </w:r>
          </w:p>
        </w:tc>
      </w:tr>
      <w:tr>
        <w:tc>
          <w:tcPr/>
          <w:p>
            <w:pPr>
              <w:pStyle w:val="Compact"/>
            </w:pPr>
            <w:r>
              <w:t xml:space="preserve">Syncable passkey (3.1.7.4, Appendix B)</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non-privileged access, and external users]</w:t>
            </w:r>
          </w:p>
        </w:tc>
      </w:tr>
      <w:tr>
        <w:tc>
          <w:tcPr/>
          <w:p>
            <w:pPr>
              <w:pStyle w:val="Compact"/>
            </w:pPr>
            <w:r>
              <w:t xml:space="preserve">Authenticator app with a one-time code or a push request that requires entering a number shown at sign-in (3.1.3, 3.1.4)</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non-privileged access, as a second factor with a password]</w:t>
            </w:r>
          </w:p>
        </w:tc>
      </w:tr>
      <w:tr>
        <w:tc>
          <w:tcPr/>
          <w:p>
            <w:pPr>
              <w:pStyle w:val="Compact"/>
            </w:pPr>
            <w:r>
              <w:t xml:space="preserve">Hardware one-time password token (3.1.4, 3.1.5)</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where a phone or security key cannot be used]</w:t>
            </w:r>
          </w:p>
        </w:tc>
      </w:tr>
      <w:tr>
        <w:tc>
          <w:tcPr/>
          <w:p>
            <w:pPr>
              <w:pStyle w:val="Compact"/>
            </w:pPr>
            <w:r>
              <w:t xml:space="preserve">Password (3.1.1)</w:t>
            </w:r>
          </w:p>
        </w:tc>
        <w:tc>
          <w:tcPr/>
          <w:p>
            <w:pPr>
              <w:pStyle w:val="Compact"/>
            </w:pPr>
            <w:r>
              <w:t xml:space="preserve">No</w:t>
            </w:r>
          </w:p>
        </w:tc>
        <w:tc>
          <w:tcPr/>
          <w:p>
            <w:pPr>
              <w:pStyle w:val="Compact"/>
            </w:pPr>
            <w:r>
              <w:t xml:space="preserve">No</w:t>
            </w:r>
          </w:p>
        </w:tc>
        <w:tc>
          <w:tcPr/>
          <w:p>
            <w:pPr>
              <w:pStyle w:val="Compact"/>
            </w:pPr>
            <w:r>
              <w:rPr>
                <w:rStyle w:val="Fill-in"/>
              </w:rPr>
              <w:t xml:space="preserve">[Fill in: for example one factor of multi-factor authentication only]</w:t>
            </w:r>
          </w:p>
        </w:tc>
      </w:tr>
      <w:tr>
        <w:tc>
          <w:tcPr/>
          <w:p>
            <w:pPr>
              <w:pStyle w:val="Compact"/>
            </w:pPr>
            <w:r>
              <w:t xml:space="preserve">Recovery codes (3.1.2, 4.2.1)</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account recovery only]</w:t>
            </w:r>
          </w:p>
        </w:tc>
      </w:tr>
      <w:tr>
        <w:tc>
          <w:tcPr/>
          <w:p>
            <w:pPr>
              <w:pStyle w:val="Compact"/>
            </w:pPr>
            <w:r>
              <w:t xml:space="preserve">One-time code by text message or voice call (3.1.3.3)</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not allowed, or external users only under section 6]</w:t>
            </w:r>
          </w:p>
        </w:tc>
      </w:tr>
    </w:tbl>
    <w:p>
      <w:pPr>
        <w:pStyle w:val="BodyText"/>
      </w:pPr>
      <w:r>
        <w:t xml:space="preserve">These are prohibited:</w:t>
      </w:r>
    </w:p>
    <w:p>
      <w:pPr>
        <w:pStyle w:val="Compact"/>
        <w:numPr>
          <w:ilvl w:val="0"/>
          <w:numId w:val="1004"/>
        </w:numPr>
      </w:pPr>
      <w:r>
        <w:t xml:space="preserve">Push requests that the user approves without entering a value from the sign-in screen. (IA-2(8))</w:t>
      </w:r>
    </w:p>
    <w:p>
      <w:pPr>
        <w:pStyle w:val="Compact"/>
        <w:numPr>
          <w:ilvl w:val="0"/>
          <w:numId w:val="1004"/>
        </w:numPr>
      </w:pPr>
      <w:r>
        <w:t xml:space="preserve">Email as a channel for one-time codes used to authenticate. (IA-5c)</w:t>
      </w:r>
    </w:p>
    <w:p>
      <w:pPr>
        <w:pStyle w:val="Compact"/>
        <w:numPr>
          <w:ilvl w:val="0"/>
          <w:numId w:val="1004"/>
        </w:numPr>
      </w:pPr>
      <w:r>
        <w:t xml:space="preserve">Security questions and other knowledge-based authentication, as an authenticator or for recovery. (IA-5c)</w:t>
      </w:r>
    </w:p>
    <w:p>
      <w:pPr>
        <w:pStyle w:val="Compact"/>
        <w:numPr>
          <w:ilvl w:val="0"/>
          <w:numId w:val="1004"/>
        </w:numPr>
      </w:pPr>
      <w:r>
        <w:rPr>
          <w:rStyle w:val="Fill-in"/>
        </w:rPr>
        <w:t xml:space="preserve">[Fill in: other prohibited authenticators]</w:t>
      </w:r>
    </w:p>
    <w:bookmarkEnd w:id="18"/>
    <w:bookmarkStart w:id="19" w:name="multi-factor-authentication"/>
    <w:p>
      <w:pPr>
        <w:pStyle w:val="Heading3"/>
      </w:pPr>
      <w:r>
        <w:t xml:space="preserve">6. Multi-factor authentication</w:t>
      </w:r>
    </w:p>
    <w:p>
      <w:pPr>
        <w:pStyle w:val="Compact"/>
        <w:numPr>
          <w:ilvl w:val="0"/>
          <w:numId w:val="1005"/>
        </w:numPr>
      </w:pPr>
      <w:r>
        <w:t xml:space="preserve">Access to privileged accounts shall require multi-factor authentication with a phishing-resistant authenticator whose private key cannot be exported. (IA-2(1))</w:t>
      </w:r>
    </w:p>
    <w:p>
      <w:pPr>
        <w:pStyle w:val="Compact"/>
        <w:numPr>
          <w:ilvl w:val="0"/>
          <w:numId w:val="1005"/>
        </w:numPr>
      </w:pPr>
      <w:r>
        <w:t xml:space="preserve">Access to non-privileged accounts shall require multi-factor authentication. (IA-2(2))</w:t>
      </w:r>
    </w:p>
    <w:p>
      <w:pPr>
        <w:pStyle w:val="Compact"/>
        <w:numPr>
          <w:ilvl w:val="0"/>
          <w:numId w:val="1005"/>
        </w:numPr>
      </w:pPr>
      <w:r>
        <w:t xml:space="preserve">Access to</w:t>
      </w:r>
      <w:r>
        <w:t xml:space="preserve"> </w:t>
      </w:r>
      <w:r>
        <w:rPr>
          <w:rStyle w:val="Fill-in"/>
        </w:rPr>
        <w:t xml:space="preserve">[Select one or more: privileged accounts; non-privileged accounts. Typical: privileged accounts and non-privileged accounts]</w:t>
      </w:r>
      <w:r>
        <w:t xml:space="preserve"> </w:t>
      </w:r>
      <w:r>
        <w:t xml:space="preserve">shall use replay-resistant authentication: at least one factor shall be a cryptographic, one-time password or look-up secret authenticator, never a password alone. (IA-2(8))</w:t>
      </w:r>
    </w:p>
    <w:p>
      <w:pPr>
        <w:pStyle w:val="Compact"/>
        <w:numPr>
          <w:ilvl w:val="0"/>
          <w:numId w:val="1005"/>
        </w:numPr>
      </w:pPr>
      <w:r>
        <w:t xml:space="preserve">Multi-factor authentication shall apply to every access path: web and application sign-in, local console and device logons, command-line and remote administration, and programming interfaces used by people. (IA-2(1))</w:t>
      </w:r>
    </w:p>
    <w:p>
      <w:pPr>
        <w:pStyle w:val="Compact"/>
        <w:numPr>
          <w:ilvl w:val="0"/>
          <w:numId w:val="1005"/>
        </w:numPr>
      </w:pPr>
      <w:r>
        <w:t xml:space="preserve">Multi-factor authentication shall be enforced by the identity provider or the application itself, not only at the network edge, so that a user on the internal network meets the same requirement. (IA-2(2))</w:t>
      </w:r>
    </w:p>
    <w:p>
      <w:pPr>
        <w:pStyle w:val="Compact"/>
        <w:numPr>
          <w:ilvl w:val="0"/>
          <w:numId w:val="1005"/>
        </w:numPr>
      </w:pPr>
      <w:r>
        <w:t xml:space="preserve">Every system that can use the enterprise identity provider shall authenticate users through it, with single sign-on, rather than keeping its own passwords. (IA-2)</w:t>
      </w:r>
    </w:p>
    <w:p>
      <w:pPr>
        <w:pStyle w:val="Compact"/>
        <w:numPr>
          <w:ilvl w:val="0"/>
          <w:numId w:val="1005"/>
        </w:numPr>
      </w:pPr>
      <w:r>
        <w:t xml:space="preserve">Legacy protocols that cannot do multi-factor authentication, such as basic authentication to mail services, shall be blocked, or listed as an exception under section 17. (IA-2(2))</w:t>
      </w:r>
    </w:p>
    <w:p>
      <w:pPr>
        <w:pStyle w:val="Compact"/>
        <w:numPr>
          <w:ilvl w:val="0"/>
          <w:numId w:val="1005"/>
        </w:numPr>
      </w:pPr>
      <w:r>
        <w:t xml:space="preserve">Text message or voice call codes shall be used only where Part B records that no unrestricted authenticator works for the user group, the users are told of the risk and offered an unrestricted alternative, a migration plan is recorded, and the authorizing official has accepted the risk. (IA-5c)</w:t>
      </w:r>
    </w:p>
    <w:p>
      <w:pPr>
        <w:pStyle w:val="Compact"/>
        <w:numPr>
          <w:ilvl w:val="0"/>
          <w:numId w:val="1005"/>
        </w:numPr>
      </w:pPr>
      <w:r>
        <w:t xml:space="preserve">Users shall be encouraged to bind at least two authenticators, so that a lost one does not force account recovery. (IA-5d)</w:t>
      </w:r>
    </w:p>
    <w:bookmarkEnd w:id="19"/>
    <w:bookmarkStart w:id="20" w:name="passwords"/>
    <w:p>
      <w:pPr>
        <w:pStyle w:val="Heading3"/>
      </w:pPr>
      <w:r>
        <w:t xml:space="preserve">7. Passwords</w:t>
      </w:r>
    </w:p>
    <w:p>
      <w:pPr>
        <w:pStyle w:val="Compact"/>
        <w:numPr>
          <w:ilvl w:val="0"/>
          <w:numId w:val="1006"/>
        </w:numPr>
      </w:pPr>
      <w:r>
        <w:t xml:space="preserve">A password used as the only factor shall be at least 15 characters long, and a password used only with another factor at least 8; no other composition rules shall be imposed, as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w:t>
      </w:r>
      <w:r>
        <w:t xml:space="preserve">states. (IA-5(1)(h))</w:t>
      </w:r>
    </w:p>
    <w:p>
      <w:pPr>
        <w:pStyle w:val="Compact"/>
        <w:numPr>
          <w:ilvl w:val="0"/>
          <w:numId w:val="1006"/>
        </w:numPr>
      </w:pPr>
      <w:r>
        <w:t xml:space="preserve">Systems shall accept passwords of at least 64 characters, with spaces and all printable characters, count each Unicode character as one, and check the whole password, never a truncated part. (IA-5(1)(f))</w:t>
      </w:r>
    </w:p>
    <w:p>
      <w:pPr>
        <w:pStyle w:val="Compact"/>
        <w:numPr>
          <w:ilvl w:val="0"/>
          <w:numId w:val="1006"/>
        </w:numPr>
      </w:pPr>
      <w:r>
        <w:t xml:space="preserve">Users shall not be required to change passwords periodically; a password shall be changed when there is evidence or suspicion that it is compromised. (IA-5f)</w:t>
      </w:r>
    </w:p>
    <w:p>
      <w:pPr>
        <w:pStyle w:val="Compact"/>
        <w:numPr>
          <w:ilvl w:val="0"/>
          <w:numId w:val="1006"/>
        </w:numPr>
      </w:pPr>
      <w:r>
        <w:t xml:space="preserve">New and changed passwords shall be checked against a list of commonly used, expected or compromised passwords, including breached passwords, dictionary words and words specific to the service and the user, and rejected with the reason if found. (IA-5(1)(b))</w:t>
      </w:r>
    </w:p>
    <w:p>
      <w:pPr>
        <w:pStyle w:val="Compact"/>
        <w:numPr>
          <w:ilvl w:val="0"/>
          <w:numId w:val="1006"/>
        </w:numPr>
      </w:pPr>
      <w:r>
        <w:t xml:space="preserve">The list shall be updated</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and when organizational passwords are suspected to have been compromised. (IA-5(1)(a))</w:t>
      </w:r>
    </w:p>
    <w:p>
      <w:pPr>
        <w:pStyle w:val="Compact"/>
        <w:numPr>
          <w:ilvl w:val="0"/>
          <w:numId w:val="1006"/>
        </w:numPr>
      </w:pPr>
      <w:r>
        <w:t xml:space="preserve">Systems shall give users guidance on choosing a strong password, allow password managers, autofill and pasting, and offer a password generator where they can. (IA-5(1)(g))</w:t>
      </w:r>
    </w:p>
    <w:p>
      <w:pPr>
        <w:pStyle w:val="Compact"/>
        <w:numPr>
          <w:ilvl w:val="0"/>
          <w:numId w:val="1006"/>
        </w:numPr>
      </w:pPr>
      <w:r>
        <w:t xml:space="preserve">Systems shall not store password hints that an unauthenticated person can see. (IA-5(1)(g))</w:t>
      </w:r>
    </w:p>
    <w:p>
      <w:pPr>
        <w:pStyle w:val="Compact"/>
        <w:numPr>
          <w:ilvl w:val="0"/>
          <w:numId w:val="1006"/>
        </w:numPr>
      </w:pPr>
      <w:r>
        <w:t xml:space="preserve">A password set by an administrator or the help desk shall be single-use, and the user shall choose a new password at the next sign-in. (IA-5(1)(e))</w:t>
      </w:r>
    </w:p>
    <w:bookmarkEnd w:id="20"/>
    <w:bookmarkStart w:id="21" w:name="failed-attempts-and-feedback"/>
    <w:p>
      <w:pPr>
        <w:pStyle w:val="Heading3"/>
      </w:pPr>
      <w:r>
        <w:t xml:space="preserve">8. Failed attempts and feedback</w:t>
      </w:r>
    </w:p>
    <w:p>
      <w:pPr>
        <w:pStyle w:val="Compact"/>
        <w:numPr>
          <w:ilvl w:val="0"/>
          <w:numId w:val="1007"/>
        </w:numPr>
      </w:pPr>
      <w:r>
        <w:t xml:space="preserve">The system shall enforce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and when the limit is exceeded shall</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w:t>
      </w:r>
    </w:p>
    <w:p>
      <w:pPr>
        <w:pStyle w:val="Compact"/>
        <w:numPr>
          <w:ilvl w:val="0"/>
          <w:numId w:val="1007"/>
        </w:numPr>
      </w:pPr>
      <w:r>
        <w:t xml:space="preserve">Authenticators that are not covered by the account lockout, such as one-time password and security key verifiers, shall be disabled after no more than 100 consecutive failed attempts, and rebound before further use. (AC-7)</w:t>
      </w:r>
    </w:p>
    <w:p>
      <w:pPr>
        <w:pStyle w:val="Compact"/>
        <w:numPr>
          <w:ilvl w:val="0"/>
          <w:numId w:val="1007"/>
        </w:numPr>
      </w:pPr>
      <w:r>
        <w:t xml:space="preserve">Activation PINs for smart cards, security keys and platform authenticators shall be at least 6 characters and lock after no more than 10 consecutive wrong entries. (IA-5c)</w:t>
      </w:r>
    </w:p>
    <w:p>
      <w:pPr>
        <w:pStyle w:val="Compact"/>
        <w:numPr>
          <w:ilvl w:val="0"/>
          <w:numId w:val="1007"/>
        </w:numPr>
      </w:pPr>
      <w:r>
        <w:t xml:space="preserve">Password and PIN entry shall be masked by default; a</w:t>
      </w:r>
      <w:r>
        <w:t xml:space="preserve"> </w:t>
      </w:r>
      <w:r>
        <w:t xml:space="preserve">“show password”</w:t>
      </w:r>
      <w:r>
        <w:t xml:space="preserve"> </w:t>
      </w:r>
      <w:r>
        <w:t xml:space="preserve">option the user chooses is allowed. (IA-6)</w:t>
      </w:r>
    </w:p>
    <w:p>
      <w:pPr>
        <w:pStyle w:val="Compact"/>
        <w:numPr>
          <w:ilvl w:val="0"/>
          <w:numId w:val="1007"/>
        </w:numPr>
      </w:pPr>
      <w:r>
        <w:t xml:space="preserve">A failed sign-in shall return the same message whether the identifier or the authenticator was wrong, and authentication secrets shall never appear in logs, error messages or web addresses. (IA-6)</w:t>
      </w:r>
    </w:p>
    <w:bookmarkEnd w:id="21"/>
    <w:bookmarkStart w:id="22" w:name="authenticator-life-cycle"/>
    <w:p>
      <w:pPr>
        <w:pStyle w:val="Heading3"/>
      </w:pPr>
      <w:r>
        <w:t xml:space="preserve">9. Authenticator life cycle</w:t>
      </w:r>
    </w:p>
    <w:p>
      <w:pPr>
        <w:pStyle w:val="Compact"/>
        <w:numPr>
          <w:ilvl w:val="0"/>
          <w:numId w:val="1008"/>
        </w:numPr>
      </w:pPr>
      <w:r>
        <w:t xml:space="preserve">Before issuing, replacing or resetting an authenticator, the</w:t>
      </w:r>
      <w:r>
        <w:t xml:space="preserve"> </w:t>
      </w:r>
      <w:r>
        <w:rPr>
          <w:rStyle w:val="Fill-in"/>
        </w:rPr>
        <w:t xml:space="preserve">[Account manager]</w:t>
      </w:r>
      <w:r>
        <w:t xml:space="preserve"> </w:t>
      </w:r>
      <w:r>
        <w:t xml:space="preserve">shall verify the identity of the recipient: in person or by a supervised video session against identity evidence, or by the person authenticating with another authenticator already bound to the account. (IA-5a)</w:t>
      </w:r>
    </w:p>
    <w:p>
      <w:pPr>
        <w:pStyle w:val="Compact"/>
        <w:numPr>
          <w:ilvl w:val="0"/>
          <w:numId w:val="1008"/>
        </w:numPr>
      </w:pPr>
      <w:r>
        <w:t xml:space="preserve">Authenticators the organization issues shall have initial content generated by an approved random generator, be delivered by a channel separate from the account identifier, and be activated only by the intended user. (IA-5b)</w:t>
      </w:r>
    </w:p>
    <w:p>
      <w:pPr>
        <w:pStyle w:val="Compact"/>
        <w:numPr>
          <w:ilvl w:val="0"/>
          <w:numId w:val="1008"/>
        </w:numPr>
      </w:pPr>
      <w:r>
        <w:t xml:space="preserve">Binding a new authenticator to an account shall require authentication at the highest level available on the account, up to the level the new authenticator will be used at, and shall notify the user through a channel other than the one used to bind it. (IA-5d)</w:t>
      </w:r>
    </w:p>
    <w:p>
      <w:pPr>
        <w:pStyle w:val="Compact"/>
        <w:numPr>
          <w:ilvl w:val="0"/>
          <w:numId w:val="1008"/>
        </w:numPr>
      </w:pPr>
      <w:r>
        <w:t xml:space="preserve">The identity provider shall keep a record of every authenticator bound to each account, its type and characteristics, and the date of each binding, renewal, suspension and revocation. (IA-5d)</w:t>
      </w:r>
    </w:p>
    <w:p>
      <w:pPr>
        <w:pStyle w:val="Compact"/>
        <w:numPr>
          <w:ilvl w:val="0"/>
          <w:numId w:val="1008"/>
        </w:numPr>
      </w:pPr>
      <w:r>
        <w:t xml:space="preserve">Account recovery shall use one of the methods in Part B section 18, and shall notify the user; a help desk recovery shall follow the identity check in the first statement of this section. (IA-5d)</w:t>
      </w:r>
    </w:p>
    <w:p>
      <w:pPr>
        <w:pStyle w:val="Compact"/>
        <w:numPr>
          <w:ilvl w:val="0"/>
          <w:numId w:val="1008"/>
        </w:numPr>
      </w:pPr>
      <w:r>
        <w:t xml:space="preserve">A lost, stolen, damaged or compromised authenticator shall be suspended or revoked within</w:t>
      </w:r>
      <w:r>
        <w:t xml:space="preserve"> </w:t>
      </w:r>
      <w:r>
        <w:rPr>
          <w:rStyle w:val="Fill-in"/>
        </w:rPr>
        <w:t xml:space="preserve">[Fill in: for example 1 hour]</w:t>
      </w:r>
      <w:r>
        <w:t xml:space="preserve"> </w:t>
      </w:r>
      <w:r>
        <w:t xml:space="preserve">of the report, and users shall be able to report it by authenticating with another authenticator or by calling</w:t>
      </w:r>
      <w:r>
        <w:t xml:space="preserve"> </w:t>
      </w:r>
      <w:r>
        <w:rPr>
          <w:rStyle w:val="Fill-in"/>
        </w:rPr>
        <w:t xml:space="preserve">[Fill in: service desk contact]</w:t>
      </w:r>
      <w:r>
        <w:t xml:space="preserve">. (IA-5d)</w:t>
      </w:r>
    </w:p>
    <w:p>
      <w:pPr>
        <w:pStyle w:val="Compact"/>
        <w:numPr>
          <w:ilvl w:val="0"/>
          <w:numId w:val="1008"/>
        </w:numPr>
      </w:pPr>
      <w:r>
        <w:t xml:space="preserve">Authenticators shall be revoked when the account is disabled or removed, when the user asks, and when the authenticator is compromised; revoked hardware authenticators shall be collected or destroyed. (IA-5d)</w:t>
      </w:r>
    </w:p>
    <w:p>
      <w:pPr>
        <w:pStyle w:val="Compact"/>
        <w:numPr>
          <w:ilvl w:val="0"/>
          <w:numId w:val="1008"/>
        </w:numPr>
      </w:pPr>
      <w:r>
        <w:t xml:space="preserve">Expiring authenticators, such as certificates, shall be renewed by binding the replacement before expiry; expired authenticators shall not be accepted. (IA-5f)</w:t>
      </w:r>
    </w:p>
    <w:p>
      <w:pPr>
        <w:pStyle w:val="Compact"/>
        <w:numPr>
          <w:ilvl w:val="0"/>
          <w:numId w:val="1008"/>
        </w:numPr>
      </w:pPr>
      <w:r>
        <w:t xml:space="preserve">Authenticators shall be changed or refreshed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008"/>
        </w:numPr>
      </w:pPr>
      <w:r>
        <w:t xml:space="preserve">Authenticators shall be changed or refreshed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008"/>
        </w:numPr>
      </w:pPr>
      <w:r>
        <w:t xml:space="preserve">Default passwords, keys and certificates on hardware, software and services shall be changed before first use, and default accounts disabled or renamed where possible. (IA-5e)</w:t>
      </w:r>
    </w:p>
    <w:p>
      <w:pPr>
        <w:pStyle w:val="Compact"/>
        <w:numPr>
          <w:ilvl w:val="0"/>
          <w:numId w:val="1008"/>
        </w:numPr>
      </w:pPr>
      <w:r>
        <w:t xml:space="preserve">The authenticators of group or role accounts shall be changed when the membership of the account changes. (IA-5i)</w:t>
      </w:r>
    </w:p>
    <w:bookmarkEnd w:id="22"/>
    <w:bookmarkStart w:id="23" w:name="protecting-authenticators"/>
    <w:p>
      <w:pPr>
        <w:pStyle w:val="Heading3"/>
      </w:pPr>
      <w:r>
        <w:t xml:space="preserve">10. Protecting authenticators</w:t>
      </w:r>
    </w:p>
    <w:p>
      <w:pPr>
        <w:pStyle w:val="Compact"/>
        <w:numPr>
          <w:ilvl w:val="0"/>
          <w:numId w:val="1009"/>
        </w:numPr>
      </w:pPr>
      <w:r>
        <w:t xml:space="preserve">Authenticators shall be protected commensurate with the security category of the information they give access to; authenticators for High systems and privileged accounts shall be held in hardware, such as a smart card, security key or a platform’s secure element. (IA-5(6))</w:t>
      </w:r>
    </w:p>
    <w:p>
      <w:pPr>
        <w:pStyle w:val="Compact"/>
        <w:numPr>
          <w:ilvl w:val="0"/>
          <w:numId w:val="1009"/>
        </w:numPr>
      </w:pPr>
      <w:r>
        <w:t xml:space="preserve">Passwords shall be sent only over encrypted channels. (IA-5(1)(c))</w:t>
      </w:r>
    </w:p>
    <w:p>
      <w:pPr>
        <w:pStyle w:val="Compact"/>
        <w:numPr>
          <w:ilvl w:val="0"/>
          <w:numId w:val="1009"/>
        </w:numPr>
      </w:pPr>
      <w:r>
        <w:t xml:space="preserve">Stored passwords shall be salted and hashed with an approved password hashing scheme and a cost factor set as high as performance allows, with a salt of at least 32 bits, and preferably an added keyed hash with a key held in a hardware security module. (IA-5(1)(d))</w:t>
      </w:r>
    </w:p>
    <w:p>
      <w:pPr>
        <w:pStyle w:val="Compact"/>
        <w:numPr>
          <w:ilvl w:val="0"/>
          <w:numId w:val="1009"/>
        </w:numPr>
      </w:pPr>
      <w:r>
        <w:t xml:space="preserve">Authentication secrets held by systems, such as recovery code hashes, private keys and service credentials, shall be protected from unauthorized disclosure and modification, with access limited to the services and administrators that need them. (IA-5g)</w:t>
      </w:r>
    </w:p>
    <w:p>
      <w:pPr>
        <w:pStyle w:val="Compact"/>
        <w:numPr>
          <w:ilvl w:val="0"/>
          <w:numId w:val="1009"/>
        </w:numPr>
      </w:pPr>
      <w:r>
        <w:t xml:space="preserve">Endpoints shall protect authenticators with full-disk encryption, a screen lock and the organization’s secure configuration, as the device management baseline sets. (IA-5h)</w:t>
      </w:r>
    </w:p>
    <w:p>
      <w:pPr>
        <w:pStyle w:val="Compact"/>
        <w:numPr>
          <w:ilvl w:val="0"/>
          <w:numId w:val="1009"/>
        </w:numPr>
      </w:pPr>
      <w:r>
        <w:t xml:space="preserve">Users shall protect their authenticators as the Rules of Behavior require, never share them, and never reuse an organizational password on another site. (IA-5h)</w:t>
      </w:r>
    </w:p>
    <w:bookmarkEnd w:id="23"/>
    <w:bookmarkStart w:id="24" w:name="public-key-based-authentication"/>
    <w:p>
      <w:pPr>
        <w:pStyle w:val="Heading3"/>
      </w:pPr>
      <w:r>
        <w:t xml:space="preserve">11. Public key-based authentication</w:t>
      </w:r>
    </w:p>
    <w:p>
      <w:pPr>
        <w:pStyle w:val="Compact"/>
        <w:numPr>
          <w:ilvl w:val="0"/>
          <w:numId w:val="1010"/>
        </w:numPr>
      </w:pPr>
      <w:r>
        <w:t xml:space="preserve">Certificates used for authentication shall be issued under the organization’s certificate policy, or by a provider or federation the</w:t>
      </w:r>
      <w:r>
        <w:t xml:space="preserve"> </w:t>
      </w:r>
      <w:r>
        <w:rPr>
          <w:rStyle w:val="Fill-in"/>
        </w:rPr>
        <w:t xml:space="preserve">[Chief Information Security Officer]</w:t>
      </w:r>
      <w:r>
        <w:t xml:space="preserve"> </w:t>
      </w:r>
      <w:r>
        <w:t xml:space="preserve">approves, as section 7 of the encryption and key management standard requires. (IA-5(2))</w:t>
      </w:r>
    </w:p>
    <w:p>
      <w:pPr>
        <w:pStyle w:val="Compact"/>
        <w:numPr>
          <w:ilvl w:val="0"/>
          <w:numId w:val="1010"/>
        </w:numPr>
      </w:pPr>
      <w:r>
        <w:t xml:space="preserve">Access to private keys shall require the authorized user’s activation factor, and private keys for user authentication shall be generated and kept in hardware where the authenticator supports it. (IA-5(2)(a)(1))</w:t>
      </w:r>
    </w:p>
    <w:p>
      <w:pPr>
        <w:pStyle w:val="Compact"/>
        <w:numPr>
          <w:ilvl w:val="0"/>
          <w:numId w:val="1010"/>
        </w:numPr>
      </w:pPr>
      <w:r>
        <w:t xml:space="preserve">The system shall map each authenticated certificate to the account of the individual or group it belongs to, using an identifier in the certificate, not the subject name alone. (IA-5(2)(a)(2))</w:t>
      </w:r>
    </w:p>
    <w:p>
      <w:pPr>
        <w:pStyle w:val="Compact"/>
        <w:numPr>
          <w:ilvl w:val="0"/>
          <w:numId w:val="1010"/>
        </w:numPr>
      </w:pPr>
      <w:r>
        <w:t xml:space="preserve">The system shall validate each certificate by building and verifying a certification path to an approved trust anchor and checking revocation status. (IA-5(2)(b)(1))</w:t>
      </w:r>
    </w:p>
    <w:p>
      <w:pPr>
        <w:pStyle w:val="Compact"/>
        <w:numPr>
          <w:ilvl w:val="0"/>
          <w:numId w:val="1010"/>
        </w:numPr>
      </w:pPr>
      <w:r>
        <w:t xml:space="preserve">The system shall keep a local cache of revocation data so that path validation works when the revocation service cannot be reached, and shall set how long cached data may be used. (IA-5(2)(b)(2))</w:t>
      </w:r>
    </w:p>
    <w:p>
      <w:pPr>
        <w:pStyle w:val="Compact"/>
        <w:numPr>
          <w:ilvl w:val="0"/>
          <w:numId w:val="1010"/>
        </w:numPr>
      </w:pPr>
      <w:r>
        <w:t xml:space="preserve">Where the organization issues or relies on PIV or PIV-interoperable credentials, systems shall accept and electronically verify them. (IA-2(12))</w:t>
      </w:r>
    </w:p>
    <w:bookmarkEnd w:id="24"/>
    <w:bookmarkStart w:id="25" w:name="service-accounts-and-machine-credentials"/>
    <w:p>
      <w:pPr>
        <w:pStyle w:val="Heading3"/>
      </w:pPr>
      <w:r>
        <w:t xml:space="preserve">12. Service accounts and machine credentials</w:t>
      </w:r>
    </w:p>
    <w:p>
      <w:pPr>
        <w:pStyle w:val="Compact"/>
        <w:numPr>
          <w:ilvl w:val="0"/>
          <w:numId w:val="1011"/>
        </w:numPr>
      </w:pPr>
      <w:r>
        <w:t xml:space="preserve">Each service, application or workload account shall have a named owner, a recorded purpose and the least privilege it needs, and shall be listed in Part B section 20. (IA-2)</w:t>
      </w:r>
    </w:p>
    <w:p>
      <w:pPr>
        <w:pStyle w:val="Compact"/>
        <w:numPr>
          <w:ilvl w:val="0"/>
          <w:numId w:val="1011"/>
        </w:numPr>
      </w:pPr>
      <w:r>
        <w:t xml:space="preserve">Service accounts shall not be used for interactive sign-in by people, and shall be blocked from it where the platform allows. (IA-2)</w:t>
      </w:r>
    </w:p>
    <w:p>
      <w:pPr>
        <w:pStyle w:val="Compact"/>
        <w:numPr>
          <w:ilvl w:val="0"/>
          <w:numId w:val="1011"/>
        </w:numPr>
      </w:pPr>
      <w:r>
        <w:t xml:space="preserve">Systems shall prefer credentials that need no stored secret, such as workload identities issued by the platform, managed identities and short-lived tokens, and then certificates or keys held in a key management service. (IA-5g)</w:t>
      </w:r>
    </w:p>
    <w:p>
      <w:pPr>
        <w:pStyle w:val="Compact"/>
        <w:numPr>
          <w:ilvl w:val="0"/>
          <w:numId w:val="1011"/>
        </w:numPr>
      </w:pPr>
      <w:r>
        <w:t xml:space="preserve">Secrets for services, such as passwords, API keys and tokens, shall be kept in the organization’s secrets manager, never in source code, scripts, configuration files, container images or tickets. (IA-5g)</w:t>
      </w:r>
    </w:p>
    <w:p>
      <w:pPr>
        <w:pStyle w:val="Compact"/>
        <w:numPr>
          <w:ilvl w:val="0"/>
          <w:numId w:val="1011"/>
        </w:numPr>
      </w:pPr>
      <w:r>
        <w:t xml:space="preserve">Service secrets shall be changed as section 9 sets, when a person who knew them leaves, and at once when they are found exposed, such as in a code repository. (IA-5f)</w:t>
      </w:r>
    </w:p>
    <w:p>
      <w:pPr>
        <w:pStyle w:val="Compact"/>
        <w:numPr>
          <w:ilvl w:val="0"/>
          <w:numId w:val="1011"/>
        </w:numPr>
      </w:pPr>
      <w:r>
        <w:rPr>
          <w:rStyle w:val="Fill-in"/>
        </w:rPr>
        <w:t xml:space="preserve">[Security operations team]</w:t>
      </w:r>
      <w:r>
        <w:t xml:space="preserve"> </w:t>
      </w:r>
      <w:r>
        <w:t xml:space="preserve">shall alert on interactive or unexpected use of service accounts. (IA-2)</w:t>
      </w:r>
    </w:p>
    <w:bookmarkEnd w:id="25"/>
    <w:bookmarkStart w:id="26" w:name="devices"/>
    <w:p>
      <w:pPr>
        <w:pStyle w:val="Heading3"/>
      </w:pPr>
      <w:r>
        <w:t xml:space="preserve">13. Devices</w:t>
      </w:r>
    </w:p>
    <w:p>
      <w:pPr>
        <w:pStyle w:val="Compact"/>
        <w:numPr>
          <w:ilvl w:val="0"/>
          <w:numId w:val="1012"/>
        </w:numPr>
      </w:pPr>
      <w:r>
        <w:t xml:space="preserve">Systems shall uniquely identify and authenticate</w:t>
      </w:r>
      <w:r>
        <w:t xml:space="preserve"> </w:t>
      </w:r>
      <w:r>
        <w:rPr>
          <w:rStyle w:val="Fill-in"/>
        </w:rPr>
        <w:t xml:space="preserve">[Fill in: devices and/or types of devices to be uniquely identified and authenticated before establishing a connection. Typical: all organization-managed endpoints, servers and network devices]</w:t>
      </w:r>
      <w:r>
        <w:t xml:space="preserve"> </w:t>
      </w:r>
      <w:r>
        <w:t xml:space="preserve">before establishing a</w:t>
      </w:r>
      <w:r>
        <w:t xml:space="preserve"> </w:t>
      </w:r>
      <w:r>
        <w:rPr>
          <w:rStyle w:val="Fill-in"/>
        </w:rPr>
        <w:t xml:space="preserve">[Select one or more: local; remote; network. Typical: remote and network]</w:t>
      </w:r>
      <w:r>
        <w:t xml:space="preserve"> </w:t>
      </w:r>
      <w:r>
        <w:t xml:space="preserve">connection. (IA-3)</w:t>
      </w:r>
    </w:p>
    <w:p>
      <w:pPr>
        <w:pStyle w:val="Compact"/>
        <w:numPr>
          <w:ilvl w:val="0"/>
          <w:numId w:val="1012"/>
        </w:numPr>
      </w:pPr>
      <w:r>
        <w:t xml:space="preserve">Device authentication shall use a certificate or key bound to the device, issued through device management, such as 802.1X with EAP-TLS for network access or a device certificate and compliance check for remote access. (IA-3)</w:t>
      </w:r>
    </w:p>
    <w:p>
      <w:pPr>
        <w:pStyle w:val="Compact"/>
        <w:numPr>
          <w:ilvl w:val="0"/>
          <w:numId w:val="1012"/>
        </w:numPr>
      </w:pPr>
      <w:r>
        <w:t xml:space="preserve">Devices that cannot hold a certificate, such as printers and building systems, shall be placed on separate network segments and identified by hardware address, as exceptions recorded in Part B. (IA-3)</w:t>
      </w:r>
    </w:p>
    <w:bookmarkEnd w:id="26"/>
    <w:bookmarkStart w:id="27" w:name="cryptographic-modules"/>
    <w:p>
      <w:pPr>
        <w:pStyle w:val="Heading3"/>
      </w:pPr>
      <w:r>
        <w:t xml:space="preserve">14. Cryptographic modules</w:t>
      </w:r>
    </w:p>
    <w:p>
      <w:pPr>
        <w:pStyle w:val="Compact"/>
        <w:numPr>
          <w:ilvl w:val="0"/>
          <w:numId w:val="1013"/>
        </w:numPr>
      </w:pPr>
      <w:r>
        <w:t xml:space="preserve">Authentication to cryptographic modules, such as hardware security modules, key management services, smart cards and platform security chips, shall use the module’s roles and authentication methods as its validated security policy describes. (IA-7)</w:t>
      </w:r>
    </w:p>
    <w:p>
      <w:pPr>
        <w:pStyle w:val="Compact"/>
        <w:numPr>
          <w:ilvl w:val="0"/>
          <w:numId w:val="1013"/>
        </w:numPr>
      </w:pPr>
      <w:r>
        <w:t xml:space="preserve">Administration of hardware security modules and key management services shall require multi-factor authentication, and the most sensitive roles a quorum of administrators where the module supports it. (IA-7)</w:t>
      </w:r>
    </w:p>
    <w:bookmarkEnd w:id="27"/>
    <w:bookmarkStart w:id="28" w:name="external-users-and-federation"/>
    <w:p>
      <w:pPr>
        <w:pStyle w:val="Heading3"/>
      </w:pPr>
      <w:r>
        <w:t xml:space="preserve">15. External users and federation</w:t>
      </w:r>
    </w:p>
    <w:p>
      <w:pPr>
        <w:pStyle w:val="Compact"/>
        <w:numPr>
          <w:ilvl w:val="0"/>
          <w:numId w:val="1014"/>
        </w:numPr>
      </w:pPr>
      <w:r>
        <w:t xml:space="preserve">Non-organizational users, and processes acting for them, shall be uniquely identified and authenticated, at the assurance levels Part B records for their user group. (IA-8)</w:t>
      </w:r>
    </w:p>
    <w:p>
      <w:pPr>
        <w:pStyle w:val="Compact"/>
        <w:numPr>
          <w:ilvl w:val="0"/>
          <w:numId w:val="1014"/>
        </w:numPr>
      </w:pPr>
      <w:r>
        <w:t xml:space="preserve">Systems shall accept only external authenticators that meet NIST SP 800-63B-4 at the level required, and the</w:t>
      </w:r>
      <w:r>
        <w:t xml:space="preserve"> </w:t>
      </w:r>
      <w:r>
        <w:rPr>
          <w:rStyle w:val="Fill-in"/>
        </w:rPr>
        <w:t xml:space="preserve">[Chief Information Security Officer]</w:t>
      </w:r>
      <w:r>
        <w:t xml:space="preserve"> </w:t>
      </w:r>
      <w:r>
        <w:t xml:space="preserve">shall keep the list of accepted external authenticators and identity providers. (IA-8(2))</w:t>
      </w:r>
    </w:p>
    <w:p>
      <w:pPr>
        <w:pStyle w:val="Compact"/>
        <w:numPr>
          <w:ilvl w:val="0"/>
          <w:numId w:val="1014"/>
        </w:numPr>
      </w:pPr>
      <w:r>
        <w:t xml:space="preserve">Federation shall conform to</w:t>
      </w:r>
      <w:r>
        <w:t xml:space="preserve"> </w:t>
      </w:r>
      <w:r>
        <w:rPr>
          <w:rStyle w:val="Fill-in"/>
        </w:rPr>
        <w:t xml:space="preserve">[Fill in: identity management profiles. Typical: the federation profiles the organization publishes for its identity provider, such as SAML 2.0 or OpenID Connect]</w:t>
      </w:r>
      <w:r>
        <w:t xml:space="preserve">, with signed assertions restricted to the receiving system, replay protection, and a trust agreement in place before the first transaction. (IA-8(4))</w:t>
      </w:r>
    </w:p>
    <w:p>
      <w:pPr>
        <w:pStyle w:val="Compact"/>
        <w:numPr>
          <w:ilvl w:val="0"/>
          <w:numId w:val="1014"/>
        </w:numPr>
      </w:pPr>
      <w:r>
        <w:t xml:space="preserve">Partner organizations’ identity providers shall be trusted only after the</w:t>
      </w:r>
      <w:r>
        <w:t xml:space="preserve"> </w:t>
      </w:r>
      <w:r>
        <w:rPr>
          <w:rStyle w:val="Fill-in"/>
        </w:rPr>
        <w:t xml:space="preserve">[Chief Information Security Officer]</w:t>
      </w:r>
      <w:r>
        <w:t xml:space="preserve"> </w:t>
      </w:r>
      <w:r>
        <w:t xml:space="preserve">approves them, with the agreement recording the assurance levels they assert and who to contact when an account is compromised. (IA-8)</w:t>
      </w:r>
    </w:p>
    <w:p>
      <w:pPr>
        <w:pStyle w:val="Compact"/>
        <w:numPr>
          <w:ilvl w:val="0"/>
          <w:numId w:val="1014"/>
        </w:numPr>
      </w:pPr>
      <w:r>
        <w:t xml:space="preserve">A system that receives a federated sign-in shall decide for itself whether its re-authentication requirements are met, and shall ask the identity provider to re-authenticate the user when they are not. (IA-11)</w:t>
      </w:r>
    </w:p>
    <w:bookmarkEnd w:id="28"/>
    <w:bookmarkStart w:id="29" w:name="re-authentication-and-sessions"/>
    <w:p>
      <w:pPr>
        <w:pStyle w:val="Heading3"/>
      </w:pPr>
      <w:r>
        <w:t xml:space="preserve">16. Re-authentication and sessions</w:t>
      </w:r>
    </w:p>
    <w:p>
      <w:pPr>
        <w:pStyle w:val="Compact"/>
        <w:numPr>
          <w:ilvl w:val="0"/>
          <w:numId w:val="1015"/>
        </w:numPr>
      </w:pPr>
      <w:r>
        <w:t xml:space="preserve">Users shall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p>
      <w:pPr>
        <w:pStyle w:val="Compact"/>
        <w:numPr>
          <w:ilvl w:val="0"/>
          <w:numId w:val="1015"/>
        </w:numPr>
      </w:pPr>
      <w:r>
        <w:t xml:space="preserve">Each system shall set and record in Part B an overall session limit and an inactivity limit no longer than</w:t>
      </w:r>
      <w:r>
        <w:t xml:space="preserve"> </w:t>
      </w:r>
      <w:r>
        <w:rPr>
          <w:rStyle w:val="Fill-in"/>
        </w:rPr>
        <w:t xml:space="preserve">[Fill in: for example 12 hours and 15 minutes at AAL3, and 24 hours and 1 hour at AAL2]</w:t>
      </w:r>
      <w:r>
        <w:t xml:space="preserve">, and the Access Control Policy’s device lock and session termination values. (IA-11)</w:t>
      </w:r>
    </w:p>
    <w:p>
      <w:pPr>
        <w:pStyle w:val="Compact"/>
        <w:numPr>
          <w:ilvl w:val="0"/>
          <w:numId w:val="1015"/>
        </w:numPr>
      </w:pPr>
      <w:r>
        <w:t xml:space="preserve">Changing authenticators, recovery settings or notification addresses shall require fresh authentication at the account’s highest level. (IA-11)</w:t>
      </w:r>
    </w:p>
    <w:p>
      <w:pPr>
        <w:pStyle w:val="Compact"/>
        <w:numPr>
          <w:ilvl w:val="0"/>
          <w:numId w:val="1015"/>
        </w:numPr>
      </w:pPr>
      <w:r>
        <w:t xml:space="preserve">Privileged actions shall require re-authentication within</w:t>
      </w:r>
      <w:r>
        <w:t xml:space="preserve"> </w:t>
      </w:r>
      <w:r>
        <w:rPr>
          <w:rStyle w:val="Fill-in"/>
        </w:rPr>
        <w:t xml:space="preserve">[Fill in: for example 15 minutes]</w:t>
      </w:r>
      <w:r>
        <w:t xml:space="preserve"> </w:t>
      </w:r>
      <w:r>
        <w:t xml:space="preserve">before the action, or a privileged access tool that requires it. (IA-11)</w:t>
      </w:r>
    </w:p>
    <w:bookmarkEnd w:id="29"/>
    <w:bookmarkStart w:id="38" w:name="exceptions"/>
    <w:p>
      <w:pPr>
        <w:pStyle w:val="Heading3"/>
      </w:pPr>
      <w:r>
        <w:t xml:space="preserve">17. Exceptions</w:t>
      </w:r>
    </w:p>
    <w:p>
      <w:pPr>
        <w:pStyle w:val="Compact"/>
        <w:numPr>
          <w:ilvl w:val="0"/>
          <w:numId w:val="1016"/>
        </w:numPr>
      </w:pPr>
      <w:r>
        <w:t xml:space="preserve">A system, account or device that cannot meet this standard shall have an exception approved by the</w:t>
      </w:r>
      <w:r>
        <w:t xml:space="preserve"> </w:t>
      </w:r>
      <w:r>
        <w:rPr>
          <w:rStyle w:val="Fill-in"/>
        </w:rPr>
        <w:t xml:space="preserve">[Chief Information Security Officer]</w:t>
      </w:r>
      <w:r>
        <w:t xml:space="preserve">, naming the requirement not met, the reason, the compensating measures and an expiry date, and recorded in Part B section 24. (IA-2)</w:t>
      </w:r>
    </w:p>
    <w:p>
      <w:pPr>
        <w:pStyle w:val="Compact"/>
        <w:numPr>
          <w:ilvl w:val="0"/>
          <w:numId w:val="1016"/>
        </w:numPr>
      </w:pPr>
      <w:r>
        <w:t xml:space="preserve">Where an exception leaves a weakness in an authorized system, it shall be entered in the system’s plan of action and milestones, and the authorizing official shall accept the remaining risk. (CA-5)</w:t>
      </w:r>
    </w:p>
    <w:p>
      <w:pPr>
        <w:pStyle w:val="Compact"/>
        <w:numPr>
          <w:ilvl w:val="0"/>
          <w:numId w:val="1016"/>
        </w:numPr>
      </w:pPr>
      <w:r>
        <w:t xml:space="preserve">Exceptions shall be reviewed</w:t>
      </w:r>
      <w:r>
        <w:t xml:space="preserve"> </w:t>
      </w:r>
      <w:r>
        <w:rPr>
          <w:rStyle w:val="Fill-in"/>
        </w:rPr>
        <w:t xml:space="preserve">[Fill in: for example quarterly]</w:t>
      </w:r>
      <w:r>
        <w:t xml:space="preserve"> </w:t>
      </w:r>
      <w:r>
        <w:t xml:space="preserve">and at expiry. (IA-2)</w:t>
      </w:r>
    </w:p>
    <w:bookmarkStart w:id="37" w:name="federal-systems"/>
    <w:p>
      <w:pPr>
        <w:pStyle w:val="Heading4"/>
      </w:pPr>
      <w:r>
        <w:t xml:space="preserve">Federal systems</w:t>
      </w:r>
    </w:p>
    <w:p>
      <w:pPr>
        <w:pStyle w:val="FirstParagraph"/>
      </w:pPr>
      <w:r>
        <w:t xml:space="preserve">For federal agencies,</w:t>
      </w:r>
      <w:r>
        <w:t xml:space="preserve"> </w:t>
      </w:r>
      <w:hyperlink r:id="rId30">
        <w:r>
          <w:rPr>
            <w:rStyle w:val="Hyperlink"/>
          </w:rPr>
          <w:t xml:space="preserve">SP 800-63B-4</w:t>
        </w:r>
      </w:hyperlink>
      <w:r>
        <w:t xml:space="preserve"> </w:t>
      </w:r>
      <w:r>
        <w:t xml:space="preserve">section 2.2.2 states that</w:t>
      </w:r>
      <w:r>
        <w:t xml:space="preserve"> </w:t>
      </w:r>
      <w:r>
        <w:t xml:space="preserve">“Federal agencies SHALL require their staff, contractors, and partners to use phishing-resistant authentication to access federal information systems”</w:t>
      </w:r>
      <w:r>
        <w:t xml:space="preserve">, that cryptographic authenticators agencies procure are validated to</w:t>
      </w:r>
      <w:r>
        <w:t xml:space="preserve"> </w:t>
      </w:r>
      <w:hyperlink r:id="rId31">
        <w:r>
          <w:rPr>
            <w:rStyle w:val="Hyperlink"/>
          </w:rPr>
          <w:t xml:space="preserve">FIPS 140</w:t>
        </w:r>
      </w:hyperlink>
      <w:r>
        <w:t xml:space="preserve"> </w:t>
      </w:r>
      <w:r>
        <w:t xml:space="preserve">Level 1, and that verifiers agencies operate at AAL2 use cryptography validated to FIPS 140 Level 1. Section 2 requires at least AAL2 when an agency makes personal information available online.</w:t>
      </w:r>
      <w:r>
        <w:t xml:space="preserve"> </w:t>
      </w:r>
      <w:hyperlink r:id="rId32">
        <w:r>
          <w:rPr>
            <w:rStyle w:val="Hyperlink"/>
          </w:rPr>
          <w:t xml:space="preserve">SP 800-63-4</w:t>
        </w:r>
      </w:hyperlink>
      <w:r>
        <w:t xml:space="preserve"> </w:t>
      </w:r>
      <w:r>
        <w:t xml:space="preserve">section 1.1 says</w:t>
      </w:r>
      <w:r>
        <w:t xml:space="preserve"> </w:t>
      </w:r>
      <w:hyperlink r:id="rId33">
        <w:r>
          <w:rPr>
            <w:rStyle w:val="Hyperlink"/>
          </w:rPr>
          <w:t xml:space="preserve">FIPS 201-3</w:t>
        </w:r>
      </w:hyperlink>
      <w:r>
        <w:t xml:space="preserve">, Personal Identity Verification (PIV) of Federal Employees and Contractors (January 2022), extends the guidelines for the federal enterprise, and section 3.4.4 says agencies should include the Digital Identity Acceptance Statement in the authorization package.</w:t>
      </w:r>
      <w:r>
        <w:t xml:space="preserve"> </w:t>
      </w:r>
      <w:hyperlink r:id="rId34">
        <w:r>
          <w:rPr>
            <w:rStyle w:val="Hyperlink"/>
          </w:rPr>
          <w:t xml:space="preserve">OMB M-22-09</w:t>
        </w:r>
      </w:hyperlink>
      <w:r>
        <w:t xml:space="preserve">, Moving the U.S. Government Toward Zero Trust Cybersecurity Principles (January 26, 2022), Section III.A, requires centralized identity management for agency users, multi-factor authentication enforced at the application layer, phishing-resistant multi-factor authentication for agency staff, contractors and partners, a phishing-resistant option for public users, and password policies without special character or regular rotation requirements; for routine self-service access by staff, contractors and partners, it requires agencies to discontinue methods that fail to resist phishing, such as text message or voice codes, one-time codes and push notifications.</w:t>
      </w:r>
      <w:r>
        <w:t xml:space="preserve"> </w:t>
      </w:r>
      <w:hyperlink r:id="rId35">
        <w:r>
          <w:rPr>
            <w:rStyle w:val="Hyperlink"/>
          </w:rPr>
          <w:t xml:space="preserve">OMB M-19-17</w:t>
        </w:r>
      </w:hyperlink>
      <w:r>
        <w:t xml:space="preserve">, Enabling Mission Delivery through Improved Identity, Credential, and Access Management (May 21, 2019), Section III, requires PIV credentials, where applicable in accordance with OPM requirements, as the primary means of identification and authentication to federal information systems by federal employees and contractors (item 2), with Derived PIV Credentials where applicable, and processes for the electronic verification of PIV identity assertions from other agencies (item 3).</w:t>
      </w:r>
      <w:r>
        <w:t xml:space="preserve"> </w:t>
      </w:r>
      <w:hyperlink r:id="rId36">
        <w:r>
          <w:rPr>
            <w:rStyle w:val="Hyperlink"/>
          </w:rPr>
          <w:t xml:space="preserve">OMB M-26-18</w:t>
        </w:r>
      </w:hyperlink>
      <w:r>
        <w:t xml:space="preserve"> </w:t>
      </w:r>
      <w:r>
        <w:t xml:space="preserve">(August 31, 2026), footnote 5, lists M-19-17 and M-22-09 as existing OMB policy, and requires agencies to offer Login.gov on in-scope public-facing websites where individuals sign in for services. As of October 2026.</w:t>
      </w:r>
    </w:p>
    <w:p>
      <w:pPr>
        <w:pStyle w:val="Compact"/>
        <w:numPr>
          <w:ilvl w:val="0"/>
          <w:numId w:val="1017"/>
        </w:numPr>
      </w:pPr>
      <w:r>
        <w:t xml:space="preserve">Agency staff, contractors and partners shall use phishing-resistant multi-factor authentication for every agency system, with a PIV or derived PIV credential where the person holds one. (IA-2(1))</w:t>
      </w:r>
    </w:p>
    <w:p>
      <w:pPr>
        <w:pStyle w:val="Compact"/>
        <w:numPr>
          <w:ilvl w:val="0"/>
          <w:numId w:val="1017"/>
        </w:numPr>
      </w:pPr>
      <w:r>
        <w:t xml:space="preserve">Systems used by federal employees and contractors shall accept and electronically verify PIV credentials, including those issued by other agencies where their staff are authorized users. (IA-2(12), IA-8(1))</w:t>
      </w:r>
    </w:p>
    <w:p>
      <w:pPr>
        <w:pStyle w:val="Compact"/>
        <w:numPr>
          <w:ilvl w:val="0"/>
          <w:numId w:val="1017"/>
        </w:numPr>
      </w:pPr>
      <w:r>
        <w:t xml:space="preserve">Password policies shall not require special characters or periodic rotation. (IA-5(1)(h))</w:t>
      </w:r>
    </w:p>
    <w:p>
      <w:pPr>
        <w:pStyle w:val="Compact"/>
        <w:numPr>
          <w:ilvl w:val="0"/>
          <w:numId w:val="1017"/>
        </w:numPr>
      </w:pPr>
      <w:r>
        <w:t xml:space="preserve">Systems serving the public shall offer a phishing-resistant authentication option, and shall offer Login.gov where OMB M-26-18 applies to them. (IA-8)</w:t>
      </w:r>
    </w:p>
    <w:p>
      <w:pPr>
        <w:pStyle w:val="Compact"/>
        <w:numPr>
          <w:ilvl w:val="0"/>
          <w:numId w:val="1017"/>
        </w:numPr>
      </w:pPr>
      <w:r>
        <w:t xml:space="preserve">Cryptographic authenticators the agency buys, and verifiers it operates, shall use cryptography validated to FIPS 140. (IA-7)</w:t>
      </w:r>
    </w:p>
    <w:p>
      <w:pPr>
        <w:pStyle w:val="Compact"/>
        <w:numPr>
          <w:ilvl w:val="0"/>
          <w:numId w:val="1017"/>
        </w:numPr>
      </w:pPr>
      <w:r>
        <w:t xml:space="preserve">The Digital Identity Acceptance Statement in Part B section 19 shall be included in the system’s authorization package. (IA-2)</w:t>
      </w:r>
    </w:p>
    <w:bookmarkEnd w:id="37"/>
    <w:bookmarkEnd w:id="38"/>
    <w:bookmarkEnd w:id="39"/>
    <w:bookmarkStart w:id="47" w:name="part-b.-system-authentication-record"/>
    <w:p>
      <w:pPr>
        <w:pStyle w:val="Heading2"/>
      </w:pPr>
      <w:r>
        <w:t xml:space="preserve">Part B. System authentication record</w:t>
      </w:r>
    </w:p>
    <w:p>
      <w:pPr>
        <w:pStyle w:val="FirstParagraph"/>
      </w:pPr>
      <w:r>
        <w:t xml:space="preserve">Complete one Part B for each system, and reference it in the system security plan.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Identity provider used</w:t>
            </w:r>
          </w:p>
        </w:tc>
        <w:tc>
          <w:tcPr/>
          <w:p>
            <w:pPr>
              <w:pStyle w:val="Compact"/>
            </w:pPr>
            <w:r>
              <w:t xml:space="preserve">Last reviewed</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for example the enterprise identity provider, or the system’s own]</w:t>
            </w:r>
          </w:p>
        </w:tc>
        <w:tc>
          <w:tcPr/>
          <w:p>
            <w:pPr>
              <w:pStyle w:val="Compact"/>
            </w:pPr>
            <w:r>
              <w:rPr>
                <w:rStyle w:val="Fill-in"/>
              </w:rPr>
              <w:t xml:space="preserve">[Fill in: date]</w:t>
            </w:r>
          </w:p>
        </w:tc>
      </w:tr>
    </w:tbl>
    <w:bookmarkStart w:id="40" w:name="authentication-methods"/>
    <w:p>
      <w:pPr>
        <w:pStyle w:val="Heading3"/>
      </w:pPr>
      <w:r>
        <w:t xml:space="preserve">18. Authentication methods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User group</w:t>
            </w:r>
          </w:p>
        </w:tc>
        <w:tc>
          <w:tcPr/>
          <w:p>
            <w:pPr>
              <w:pStyle w:val="Compact"/>
            </w:pPr>
            <w:r>
              <w:t xml:space="preserve">Access path</w:t>
            </w:r>
          </w:p>
        </w:tc>
        <w:tc>
          <w:tcPr/>
          <w:p>
            <w:pPr>
              <w:pStyle w:val="Compact"/>
            </w:pPr>
            <w:r>
              <w:t xml:space="preserve">Account type</w:t>
            </w:r>
          </w:p>
        </w:tc>
        <w:tc>
          <w:tcPr/>
          <w:p>
            <w:pPr>
              <w:pStyle w:val="Compact"/>
            </w:pPr>
            <w:r>
              <w:t xml:space="preserve">Authenticators accepted</w:t>
            </w:r>
          </w:p>
        </w:tc>
        <w:tc>
          <w:tcPr/>
          <w:p>
            <w:pPr>
              <w:pStyle w:val="Compact"/>
            </w:pPr>
            <w:r>
              <w:t xml:space="preserve">Multi-factor</w:t>
            </w:r>
          </w:p>
        </w:tc>
        <w:tc>
          <w:tcPr/>
          <w:p>
            <w:pPr>
              <w:pStyle w:val="Compact"/>
            </w:pPr>
            <w:r>
              <w:t xml:space="preserve">Phishing-resistant</w:t>
            </w:r>
          </w:p>
        </w:tc>
        <w:tc>
          <w:tcPr/>
          <w:p>
            <w:pPr>
              <w:pStyle w:val="Compact"/>
            </w:pPr>
            <w:r>
              <w:t xml:space="preserve">Recovery method</w:t>
            </w:r>
          </w:p>
        </w:tc>
      </w:tr>
      <w:tr>
        <w:tc>
          <w:tcPr/>
          <w:p>
            <w:pPr>
              <w:pStyle w:val="Compact"/>
            </w:pPr>
            <w:r>
              <w:rPr>
                <w:rStyle w:val="Fill-in"/>
              </w:rPr>
              <w:t xml:space="preserve">[Fill in: for example employees and contractors]</w:t>
            </w:r>
          </w:p>
        </w:tc>
        <w:tc>
          <w:tcPr/>
          <w:p>
            <w:pPr>
              <w:pStyle w:val="Compact"/>
            </w:pPr>
            <w:r>
              <w:rPr>
                <w:rStyle w:val="Fill-in"/>
              </w:rPr>
              <w:t xml:space="preserve">[Fill in: web sign-in through single sign-on]</w:t>
            </w:r>
          </w:p>
        </w:tc>
        <w:tc>
          <w:tcPr/>
          <w:p>
            <w:pPr>
              <w:pStyle w:val="Compact"/>
            </w:pPr>
            <w:r>
              <w:rPr>
                <w:rStyle w:val="Fill-in"/>
              </w:rPr>
              <w:t xml:space="preserve">[Fill in: non-privileged]</w:t>
            </w:r>
          </w:p>
        </w:tc>
        <w:tc>
          <w:tcPr/>
          <w:p>
            <w:pPr>
              <w:pStyle w:val="Compact"/>
            </w:pPr>
            <w:r>
              <w:rPr>
                <w:rStyle w:val="Fill-in"/>
              </w:rPr>
              <w:t xml:space="preserve">[Fill in: for example platform authenticator; authenticator app and password]</w:t>
            </w:r>
          </w:p>
        </w:tc>
        <w:tc>
          <w:tcPr/>
          <w:p>
            <w:pPr>
              <w:pStyle w:val="Compact"/>
            </w:pPr>
            <w:r>
              <w:rPr>
                <w:rStyle w:val="Fill-in"/>
              </w:rPr>
              <w:t xml:space="preserve">[Fill in: yes]</w:t>
            </w:r>
          </w:p>
        </w:tc>
        <w:tc>
          <w:tcPr/>
          <w:p>
            <w:pPr>
              <w:pStyle w:val="Compact"/>
            </w:pPr>
            <w:r>
              <w:rPr>
                <w:rStyle w:val="Fill-in"/>
              </w:rPr>
              <w:t xml:space="preserve">[Fill in: yes or no]</w:t>
            </w:r>
          </w:p>
        </w:tc>
        <w:tc>
          <w:tcPr/>
          <w:p>
            <w:pPr>
              <w:pStyle w:val="Compact"/>
            </w:pPr>
            <w:r>
              <w:rPr>
                <w:rStyle w:val="Fill-in"/>
              </w:rPr>
              <w:t xml:space="preserve">[Fill in: for example help desk with identity check]</w:t>
            </w:r>
          </w:p>
        </w:tc>
      </w:tr>
      <w:tr>
        <w:tc>
          <w:tcPr/>
          <w:p>
            <w:pPr>
              <w:pStyle w:val="Compact"/>
            </w:pPr>
            <w:r>
              <w:rPr>
                <w:rStyle w:val="Fill-in"/>
              </w:rPr>
              <w:t xml:space="preserve">[Fill in: for example administrators]</w:t>
            </w:r>
          </w:p>
        </w:tc>
        <w:tc>
          <w:tcPr/>
          <w:p>
            <w:pPr>
              <w:pStyle w:val="Compact"/>
            </w:pPr>
            <w:r>
              <w:rPr>
                <w:rStyle w:val="Fill-in"/>
              </w:rPr>
              <w:t xml:space="preserve">[Fill in: privileged access service; local console]</w:t>
            </w:r>
          </w:p>
        </w:tc>
        <w:tc>
          <w:tcPr/>
          <w:p>
            <w:pPr>
              <w:pStyle w:val="Compact"/>
            </w:pPr>
            <w:r>
              <w:rPr>
                <w:rStyle w:val="Fill-in"/>
              </w:rPr>
              <w:t xml:space="preserve">[Fill in: privileged]</w:t>
            </w:r>
          </w:p>
        </w:tc>
        <w:tc>
          <w:tcPr/>
          <w:p>
            <w:pPr>
              <w:pStyle w:val="Compact"/>
            </w:pPr>
            <w:r>
              <w:rPr>
                <w:rStyle w:val="Fill-in"/>
              </w:rPr>
              <w:t xml:space="preserve">[Fill in: for example PIV card or security key]</w:t>
            </w:r>
          </w:p>
        </w:tc>
        <w:tc>
          <w:tcPr/>
          <w:p>
            <w:pPr>
              <w:pStyle w:val="Compact"/>
            </w:pPr>
            <w:r>
              <w:rPr>
                <w:rStyle w:val="Fill-in"/>
              </w:rPr>
              <w:t xml:space="preserve">[Fill in: yes]</w:t>
            </w:r>
          </w:p>
        </w:tc>
        <w:tc>
          <w:tcPr/>
          <w:p>
            <w:pPr>
              <w:pStyle w:val="Compact"/>
            </w:pPr>
            <w:r>
              <w:rPr>
                <w:rStyle w:val="Fill-in"/>
              </w:rPr>
              <w:t xml:space="preserve">[Fill in: yes]</w:t>
            </w:r>
          </w:p>
        </w:tc>
        <w:tc>
          <w:tcPr/>
          <w:p>
            <w:pPr>
              <w:pStyle w:val="Compact"/>
            </w:pPr>
            <w:r>
              <w:rPr>
                <w:rStyle w:val="Fill-in"/>
              </w:rPr>
              <w:t xml:space="preserve">[Fill in: method]</w:t>
            </w:r>
          </w:p>
        </w:tc>
      </w:tr>
      <w:tr>
        <w:tc>
          <w:tcPr/>
          <w:p>
            <w:pPr>
              <w:pStyle w:val="Compact"/>
            </w:pPr>
            <w:r>
              <w:rPr>
                <w:rStyle w:val="Fill-in"/>
              </w:rPr>
              <w:t xml:space="preserve">[Fill in: for example customers]</w:t>
            </w:r>
          </w:p>
        </w:tc>
        <w:tc>
          <w:tcPr/>
          <w:p>
            <w:pPr>
              <w:pStyle w:val="Compact"/>
            </w:pPr>
            <w:r>
              <w:rPr>
                <w:rStyle w:val="Fill-in"/>
              </w:rPr>
              <w:t xml:space="preserve">[Fill in: public web application]</w:t>
            </w:r>
          </w:p>
        </w:tc>
        <w:tc>
          <w:tcPr/>
          <w:p>
            <w:pPr>
              <w:pStyle w:val="Compact"/>
            </w:pPr>
            <w:r>
              <w:rPr>
                <w:rStyle w:val="Fill-in"/>
              </w:rPr>
              <w:t xml:space="preserve">[Fill in: external]</w:t>
            </w:r>
          </w:p>
        </w:tc>
        <w:tc>
          <w:tcPr/>
          <w:p>
            <w:pPr>
              <w:pStyle w:val="Compact"/>
            </w:pPr>
            <w:r>
              <w:rPr>
                <w:rStyle w:val="Fill-in"/>
              </w:rPr>
              <w:t xml:space="preserve">[Fill in: authenticators]</w:t>
            </w:r>
          </w:p>
        </w:tc>
        <w:tc>
          <w:tcPr/>
          <w:p>
            <w:pPr>
              <w:pStyle w:val="Compact"/>
            </w:pPr>
            <w:r>
              <w:rPr>
                <w:rStyle w:val="Fill-in"/>
              </w:rPr>
              <w:t xml:space="preserve">[Fill in: yes or no]</w:t>
            </w:r>
          </w:p>
        </w:tc>
        <w:tc>
          <w:tcPr/>
          <w:p>
            <w:pPr>
              <w:pStyle w:val="Compact"/>
            </w:pPr>
            <w:r>
              <w:rPr>
                <w:rStyle w:val="Fill-in"/>
              </w:rPr>
              <w:t xml:space="preserve">[Fill in: yes or no]</w:t>
            </w:r>
          </w:p>
        </w:tc>
        <w:tc>
          <w:tcPr/>
          <w:p>
            <w:pPr>
              <w:pStyle w:val="Compact"/>
            </w:pPr>
            <w:r>
              <w:rPr>
                <w:rStyle w:val="Fill-in"/>
              </w:rPr>
              <w:t xml:space="preserve">[Fill in: method]</w:t>
            </w:r>
          </w:p>
        </w:tc>
      </w:tr>
    </w:tbl>
    <w:bookmarkEnd w:id="40"/>
    <w:bookmarkStart w:id="41" w:name="assurance-levels-1"/>
    <w:p>
      <w:pPr>
        <w:pStyle w:val="Heading3"/>
      </w:pPr>
      <w:r>
        <w:t xml:space="preserve">19. Assurance levels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User group</w:t>
            </w:r>
          </w:p>
        </w:tc>
        <w:tc>
          <w:tcPr/>
          <w:p>
            <w:pPr>
              <w:pStyle w:val="Compact"/>
            </w:pPr>
            <w:r>
              <w:t xml:space="preserve">Impact assessment result</w:t>
            </w:r>
          </w:p>
        </w:tc>
        <w:tc>
          <w:tcPr/>
          <w:p>
            <w:pPr>
              <w:pStyle w:val="Compact"/>
            </w:pPr>
            <w:r>
              <w:t xml:space="preserve">Initial IAL, AAL and FAL</w:t>
            </w:r>
          </w:p>
        </w:tc>
        <w:tc>
          <w:tcPr/>
          <w:p>
            <w:pPr>
              <w:pStyle w:val="Compact"/>
            </w:pPr>
            <w:r>
              <w:t xml:space="preserve">Tailored levels and rationale</w:t>
            </w:r>
          </w:p>
        </w:tc>
        <w:tc>
          <w:tcPr/>
          <w:p>
            <w:pPr>
              <w:pStyle w:val="Compact"/>
            </w:pPr>
            <w:r>
              <w:t xml:space="preserve">Compensating controls and residual risk</w:t>
            </w:r>
          </w:p>
        </w:tc>
        <w:tc>
          <w:tcPr/>
          <w:p>
            <w:pPr>
              <w:pStyle w:val="Compact"/>
            </w:pPr>
            <w:r>
              <w:t xml:space="preserve">Supplemental controls</w:t>
            </w:r>
          </w:p>
        </w:tc>
        <w:tc>
          <w:tcPr/>
          <w:p>
            <w:pPr>
              <w:pStyle w:val="Compact"/>
            </w:pPr>
            <w:r>
              <w:t xml:space="preserve">Approved by and date</w:t>
            </w:r>
          </w:p>
        </w:tc>
      </w:tr>
      <w:tr>
        <w:tc>
          <w:tcPr/>
          <w:p>
            <w:pPr>
              <w:pStyle w:val="Compact"/>
            </w:pPr>
            <w:r>
              <w:rPr>
                <w:rStyle w:val="Fill-in"/>
              </w:rPr>
              <w:t xml:space="preserve">[Fill in: user group]</w:t>
            </w:r>
          </w:p>
        </w:tc>
        <w:tc>
          <w:tcPr/>
          <w:p>
            <w:pPr>
              <w:pStyle w:val="Compact"/>
            </w:pPr>
            <w:r>
              <w:rPr>
                <w:rStyle w:val="Fill-in"/>
              </w:rPr>
              <w:t xml:space="preserve">[Fill in: low, moderate or high, with the assessment reference]</w:t>
            </w:r>
          </w:p>
        </w:tc>
        <w:tc>
          <w:tcPr/>
          <w:p>
            <w:pPr>
              <w:pStyle w:val="Compact"/>
            </w:pPr>
            <w:r>
              <w:rPr>
                <w:rStyle w:val="Fill-in"/>
              </w:rPr>
              <w:t xml:space="preserve">[Fill in: for example IAL2, AAL2, FAL2]</w:t>
            </w:r>
          </w:p>
        </w:tc>
        <w:tc>
          <w:tcPr/>
          <w:p>
            <w:pPr>
              <w:pStyle w:val="Compact"/>
            </w:pPr>
            <w:r>
              <w:rPr>
                <w:rStyle w:val="Fill-in"/>
              </w:rPr>
              <w:t xml:space="preserve">[Fill in: levels, or same as initial]</w:t>
            </w:r>
          </w:p>
        </w:tc>
        <w:tc>
          <w:tcPr/>
          <w:p>
            <w:pPr>
              <w:pStyle w:val="Compact"/>
            </w:pPr>
            <w:r>
              <w:rPr>
                <w:rStyle w:val="Fill-in"/>
              </w:rPr>
              <w:t xml:space="preserve">[Fill in: controls, or none]</w:t>
            </w:r>
          </w:p>
        </w:tc>
        <w:tc>
          <w:tcPr/>
          <w:p>
            <w:pPr>
              <w:pStyle w:val="Compact"/>
            </w:pPr>
            <w:r>
              <w:rPr>
                <w:rStyle w:val="Fill-in"/>
              </w:rPr>
              <w:t xml:space="preserve">[Fill in: controls, or none]</w:t>
            </w:r>
          </w:p>
        </w:tc>
        <w:tc>
          <w:tcPr/>
          <w:p>
            <w:pPr>
              <w:pStyle w:val="Compact"/>
            </w:pPr>
            <w:r>
              <w:rPr>
                <w:rStyle w:val="Fill-in"/>
              </w:rPr>
              <w:t xml:space="preserve">[Fill in: name and date]</w:t>
            </w:r>
          </w:p>
        </w:tc>
      </w:tr>
    </w:tbl>
    <w:bookmarkEnd w:id="41"/>
    <w:bookmarkStart w:id="42" w:name="X0d53083a51c80c246ad6a80e3838ca908133009"/>
    <w:p>
      <w:pPr>
        <w:pStyle w:val="Heading3"/>
      </w:pPr>
      <w:r>
        <w:t xml:space="preserve">20. Local, emergency, shared and service accounts</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Account</w:t>
            </w:r>
          </w:p>
        </w:tc>
        <w:tc>
          <w:tcPr/>
          <w:p>
            <w:pPr>
              <w:pStyle w:val="Compact"/>
            </w:pPr>
            <w:r>
              <w:t xml:space="preserve">Type</w:t>
            </w:r>
          </w:p>
        </w:tc>
        <w:tc>
          <w:tcPr/>
          <w:p>
            <w:pPr>
              <w:pStyle w:val="Compact"/>
            </w:pPr>
            <w:r>
              <w:t xml:space="preserve">Owner</w:t>
            </w:r>
          </w:p>
        </w:tc>
        <w:tc>
          <w:tcPr/>
          <w:p>
            <w:pPr>
              <w:pStyle w:val="Compact"/>
            </w:pPr>
            <w:r>
              <w:t xml:space="preserve">Purpose</w:t>
            </w:r>
          </w:p>
        </w:tc>
        <w:tc>
          <w:tcPr/>
          <w:p>
            <w:pPr>
              <w:pStyle w:val="Compact"/>
            </w:pPr>
            <w:r>
              <w:t xml:space="preserve">How it authenticates</w:t>
            </w:r>
          </w:p>
        </w:tc>
        <w:tc>
          <w:tcPr/>
          <w:p>
            <w:pPr>
              <w:pStyle w:val="Compact"/>
            </w:pPr>
            <w:r>
              <w:t xml:space="preserve">Where its secret is kept</w:t>
            </w:r>
          </w:p>
        </w:tc>
        <w:tc>
          <w:tcPr/>
          <w:p>
            <w:pPr>
              <w:pStyle w:val="Compact"/>
            </w:pPr>
            <w:r>
              <w:t xml:space="preserve">Last changed</w:t>
            </w:r>
          </w:p>
        </w:tc>
        <w:tc>
          <w:tcPr/>
          <w:p>
            <w:pPr>
              <w:pStyle w:val="Compact"/>
            </w:pPr>
            <w:r>
              <w:t xml:space="preserve">Interactive sign-in blocked</w:t>
            </w:r>
          </w:p>
        </w:tc>
      </w:tr>
      <w:tr>
        <w:tc>
          <w:tcPr/>
          <w:p>
            <w:pPr>
              <w:pStyle w:val="Compact"/>
            </w:pPr>
            <w:r>
              <w:rPr>
                <w:rStyle w:val="Fill-in"/>
              </w:rPr>
              <w:t xml:space="preserve">[Fill in: account name]</w:t>
            </w:r>
          </w:p>
        </w:tc>
        <w:tc>
          <w:tcPr/>
          <w:p>
            <w:pPr>
              <w:pStyle w:val="Compact"/>
            </w:pPr>
            <w:r>
              <w:rPr>
                <w:rStyle w:val="Fill-in"/>
              </w:rPr>
              <w:t xml:space="preserve">[Fill in: local, emergency, shared or service]</w:t>
            </w:r>
          </w:p>
        </w:tc>
        <w:tc>
          <w:tcPr/>
          <w:p>
            <w:pPr>
              <w:pStyle w:val="Compact"/>
            </w:pPr>
            <w:r>
              <w:rPr>
                <w:rStyle w:val="Fill-in"/>
              </w:rPr>
              <w:t xml:space="preserve">[Fill in: name]</w:t>
            </w:r>
          </w:p>
        </w:tc>
        <w:tc>
          <w:tcPr/>
          <w:p>
            <w:pPr>
              <w:pStyle w:val="Compact"/>
            </w:pPr>
            <w:r>
              <w:rPr>
                <w:rStyle w:val="Fill-in"/>
              </w:rPr>
              <w:t xml:space="preserve">[Fill in: purpose]</w:t>
            </w:r>
          </w:p>
        </w:tc>
        <w:tc>
          <w:tcPr/>
          <w:p>
            <w:pPr>
              <w:pStyle w:val="Compact"/>
            </w:pPr>
            <w:r>
              <w:rPr>
                <w:rStyle w:val="Fill-in"/>
              </w:rPr>
              <w:t xml:space="preserve">[Fill in: for example workload identity, certificate or password]</w:t>
            </w:r>
          </w:p>
        </w:tc>
        <w:tc>
          <w:tcPr/>
          <w:p>
            <w:pPr>
              <w:pStyle w:val="Compact"/>
            </w:pPr>
            <w:r>
              <w:rPr>
                <w:rStyle w:val="Fill-in"/>
              </w:rPr>
              <w:t xml:space="preserve">[Fill in: for example secrets manager path]</w:t>
            </w:r>
          </w:p>
        </w:tc>
        <w:tc>
          <w:tcPr/>
          <w:p>
            <w:pPr>
              <w:pStyle w:val="Compact"/>
            </w:pPr>
            <w:r>
              <w:rPr>
                <w:rStyle w:val="Fill-in"/>
              </w:rPr>
              <w:t xml:space="preserve">[Fill in: date]</w:t>
            </w:r>
          </w:p>
        </w:tc>
        <w:tc>
          <w:tcPr/>
          <w:p>
            <w:pPr>
              <w:pStyle w:val="Compact"/>
            </w:pPr>
            <w:r>
              <w:rPr>
                <w:rStyle w:val="Fill-in"/>
              </w:rPr>
              <w:t xml:space="preserve">[Fill in: yes or no]</w:t>
            </w:r>
          </w:p>
        </w:tc>
      </w:tr>
    </w:tbl>
    <w:bookmarkEnd w:id="42"/>
    <w:bookmarkStart w:id="43" w:name="devices-1"/>
    <w:p>
      <w:pPr>
        <w:pStyle w:val="Heading3"/>
      </w:pPr>
      <w:r>
        <w:t xml:space="preserve">21. Devices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Device type</w:t>
            </w:r>
          </w:p>
        </w:tc>
        <w:tc>
          <w:tcPr/>
          <w:p>
            <w:pPr>
              <w:pStyle w:val="Compact"/>
            </w:pPr>
            <w:r>
              <w:t xml:space="preserve">How it is identified and authenticated</w:t>
            </w:r>
          </w:p>
        </w:tc>
        <w:tc>
          <w:tcPr/>
          <w:p>
            <w:pPr>
              <w:pStyle w:val="Compact"/>
            </w:pPr>
            <w:r>
              <w:t xml:space="preserve">Connection types</w:t>
            </w:r>
          </w:p>
        </w:tc>
        <w:tc>
          <w:tcPr/>
          <w:p>
            <w:pPr>
              <w:pStyle w:val="Compact"/>
            </w:pPr>
            <w:r>
              <w:t xml:space="preserve">Exceptions and compensating measures</w:t>
            </w:r>
          </w:p>
        </w:tc>
      </w:tr>
      <w:tr>
        <w:tc>
          <w:tcPr/>
          <w:p>
            <w:pPr>
              <w:pStyle w:val="Compact"/>
            </w:pPr>
            <w:r>
              <w:rPr>
                <w:rStyle w:val="Fill-in"/>
              </w:rPr>
              <w:t xml:space="preserve">[Fill in: for example laptops]</w:t>
            </w:r>
          </w:p>
        </w:tc>
        <w:tc>
          <w:tcPr/>
          <w:p>
            <w:pPr>
              <w:pStyle w:val="Compact"/>
            </w:pPr>
            <w:r>
              <w:rPr>
                <w:rStyle w:val="Fill-in"/>
              </w:rPr>
              <w:t xml:space="preserve">[Fill in: for example device certificate through 802.1X]</w:t>
            </w:r>
          </w:p>
        </w:tc>
        <w:tc>
          <w:tcPr/>
          <w:p>
            <w:pPr>
              <w:pStyle w:val="Compact"/>
            </w:pPr>
            <w:r>
              <w:rPr>
                <w:rStyle w:val="Fill-in"/>
              </w:rPr>
              <w:t xml:space="preserve">[Fill in: local, remote or network]</w:t>
            </w:r>
          </w:p>
        </w:tc>
        <w:tc>
          <w:tcPr/>
          <w:p>
            <w:pPr>
              <w:pStyle w:val="Compact"/>
            </w:pPr>
            <w:r>
              <w:rPr>
                <w:rStyle w:val="Fill-in"/>
              </w:rPr>
              <w:t xml:space="preserve">[Fill in: none]</w:t>
            </w:r>
          </w:p>
        </w:tc>
      </w:tr>
    </w:tbl>
    <w:bookmarkEnd w:id="43"/>
    <w:bookmarkStart w:id="44" w:name="X103980d26e95aadfb9e1997e76e3d0d537ae637"/>
    <w:p>
      <w:pPr>
        <w:pStyle w:val="Heading3"/>
      </w:pPr>
      <w:r>
        <w:t xml:space="preserve">22. External identity providers and authenticators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Identity provider or authenticator</w:t>
            </w:r>
          </w:p>
        </w:tc>
        <w:tc>
          <w:tcPr/>
          <w:p>
            <w:pPr>
              <w:pStyle w:val="Compact"/>
            </w:pPr>
            <w:r>
              <w:t xml:space="preserve">Organization</w:t>
            </w:r>
          </w:p>
        </w:tc>
        <w:tc>
          <w:tcPr/>
          <w:p>
            <w:pPr>
              <w:pStyle w:val="Compact"/>
            </w:pPr>
            <w:r>
              <w:t xml:space="preserve">Federation profile</w:t>
            </w:r>
          </w:p>
        </w:tc>
        <w:tc>
          <w:tcPr/>
          <w:p>
            <w:pPr>
              <w:pStyle w:val="Compact"/>
            </w:pPr>
            <w:r>
              <w:t xml:space="preserve">Assurance levels asserted</w:t>
            </w:r>
          </w:p>
        </w:tc>
        <w:tc>
          <w:tcPr/>
          <w:p>
            <w:pPr>
              <w:pStyle w:val="Compact"/>
            </w:pPr>
            <w:r>
              <w:t xml:space="preserve">Agreement and date</w:t>
            </w:r>
          </w:p>
        </w:tc>
        <w:tc>
          <w:tcPr/>
          <w:p>
            <w:pPr>
              <w:pStyle w:val="Compact"/>
            </w:pPr>
            <w:r>
              <w:t xml:space="preserve">Approved by</w:t>
            </w:r>
          </w:p>
        </w:tc>
      </w:tr>
      <w:tr>
        <w:tc>
          <w:tcPr/>
          <w:p>
            <w:pPr>
              <w:pStyle w:val="Compact"/>
            </w:pPr>
            <w:r>
              <w:rPr>
                <w:rStyle w:val="Fill-in"/>
              </w:rPr>
              <w:t xml:space="preserve">[Fill in: name]</w:t>
            </w:r>
          </w:p>
        </w:tc>
        <w:tc>
          <w:tcPr/>
          <w:p>
            <w:pPr>
              <w:pStyle w:val="Compact"/>
            </w:pPr>
            <w:r>
              <w:rPr>
                <w:rStyle w:val="Fill-in"/>
              </w:rPr>
              <w:t xml:space="preserve">[Fill in: organization]</w:t>
            </w:r>
          </w:p>
        </w:tc>
        <w:tc>
          <w:tcPr/>
          <w:p>
            <w:pPr>
              <w:pStyle w:val="Compact"/>
            </w:pPr>
            <w:r>
              <w:rPr>
                <w:rStyle w:val="Fill-in"/>
              </w:rPr>
              <w:t xml:space="preserve">[Fill in: for example OpenID Connect]</w:t>
            </w:r>
          </w:p>
        </w:tc>
        <w:tc>
          <w:tcPr/>
          <w:p>
            <w:pPr>
              <w:pStyle w:val="Compact"/>
            </w:pPr>
            <w:r>
              <w:rPr>
                <w:rStyle w:val="Fill-in"/>
              </w:rPr>
              <w:t xml:space="preserve">[Fill in: for example IAL2, AAL2, FAL2]</w:t>
            </w:r>
          </w:p>
        </w:tc>
        <w:tc>
          <w:tcPr/>
          <w:p>
            <w:pPr>
              <w:pStyle w:val="Compact"/>
            </w:pPr>
            <w:r>
              <w:rPr>
                <w:rStyle w:val="Fill-in"/>
              </w:rPr>
              <w:t xml:space="preserve">[Fill in: reference and date]</w:t>
            </w:r>
          </w:p>
        </w:tc>
        <w:tc>
          <w:tcPr/>
          <w:p>
            <w:pPr>
              <w:pStyle w:val="Compact"/>
            </w:pPr>
            <w:r>
              <w:rPr>
                <w:rStyle w:val="Fill-in"/>
              </w:rPr>
              <w:t xml:space="preserve">[Fill in: name and date]</w:t>
            </w:r>
          </w:p>
        </w:tc>
      </w:tr>
    </w:tbl>
    <w:bookmarkEnd w:id="44"/>
    <w:bookmarkStart w:id="45" w:name="session-limits"/>
    <w:p>
      <w:pPr>
        <w:pStyle w:val="Heading3"/>
      </w:pPr>
      <w:r>
        <w:t xml:space="preserve">23. Session limits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Access path</w:t>
            </w:r>
          </w:p>
        </w:tc>
        <w:tc>
          <w:tcPr/>
          <w:p>
            <w:pPr>
              <w:pStyle w:val="Compact"/>
            </w:pPr>
            <w:r>
              <w:t xml:space="preserve">Overall session limit</w:t>
            </w:r>
          </w:p>
        </w:tc>
        <w:tc>
          <w:tcPr/>
          <w:p>
            <w:pPr>
              <w:pStyle w:val="Compact"/>
            </w:pPr>
            <w:r>
              <w:t xml:space="preserve">Inactivity limit</w:t>
            </w:r>
          </w:p>
        </w:tc>
        <w:tc>
          <w:tcPr/>
          <w:p>
            <w:pPr>
              <w:pStyle w:val="Compact"/>
            </w:pPr>
            <w:r>
              <w:t xml:space="preserve">Device lock</w:t>
            </w:r>
          </w:p>
        </w:tc>
        <w:tc>
          <w:tcPr/>
          <w:p>
            <w:pPr>
              <w:pStyle w:val="Compact"/>
            </w:pPr>
            <w:r>
              <w:t xml:space="preserve">Re-authentication before privileged actions</w:t>
            </w:r>
          </w:p>
        </w:tc>
      </w:tr>
      <w:tr>
        <w:tc>
          <w:tcPr/>
          <w:p>
            <w:pPr>
              <w:pStyle w:val="Compact"/>
            </w:pPr>
            <w:r>
              <w:rPr>
                <w:rStyle w:val="Fill-in"/>
              </w:rPr>
              <w:t xml:space="preserve">[Fill in: access path]</w:t>
            </w:r>
          </w:p>
        </w:tc>
        <w:tc>
          <w:tcPr/>
          <w:p>
            <w:pPr>
              <w:pStyle w:val="Compact"/>
            </w:pPr>
            <w:r>
              <w:rPr>
                <w:rStyle w:val="Fill-in"/>
              </w:rPr>
              <w:t xml:space="preserve">[Fill in: for example 12 hours]</w:t>
            </w:r>
          </w:p>
        </w:tc>
        <w:tc>
          <w:tcPr/>
          <w:p>
            <w:pPr>
              <w:pStyle w:val="Compact"/>
            </w:pPr>
            <w:r>
              <w:rPr>
                <w:rStyle w:val="Fill-in"/>
              </w:rPr>
              <w:t xml:space="preserve">[Fill in: for example 15 minutes]</w:t>
            </w:r>
          </w:p>
        </w:tc>
        <w:tc>
          <w:tcPr/>
          <w:p>
            <w:pPr>
              <w:pStyle w:val="Compact"/>
            </w:pPr>
            <w:r>
              <w:rPr>
                <w:rStyle w:val="Fill-in"/>
              </w:rPr>
              <w:t xml:space="preserve">[Fill in: for example 15 minutes]</w:t>
            </w:r>
          </w:p>
        </w:tc>
        <w:tc>
          <w:tcPr/>
          <w:p>
            <w:pPr>
              <w:pStyle w:val="Compact"/>
            </w:pPr>
            <w:r>
              <w:rPr>
                <w:rStyle w:val="Fill-in"/>
              </w:rPr>
              <w:t xml:space="preserve">[Fill in: yes, within 15 minutes]</w:t>
            </w:r>
          </w:p>
        </w:tc>
      </w:tr>
    </w:tbl>
    <w:bookmarkEnd w:id="45"/>
    <w:bookmarkStart w:id="46" w:name="exceptions-in-effect"/>
    <w:p>
      <w:pPr>
        <w:pStyle w:val="Heading3"/>
      </w:pPr>
      <w:r>
        <w:t xml:space="preserve">24. Exceptions in effect</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Exception ID</w:t>
            </w:r>
          </w:p>
        </w:tc>
        <w:tc>
          <w:tcPr/>
          <w:p>
            <w:pPr>
              <w:pStyle w:val="Compact"/>
            </w:pPr>
            <w:r>
              <w:t xml:space="preserve">Requirement not met</w:t>
            </w:r>
          </w:p>
        </w:tc>
        <w:tc>
          <w:tcPr/>
          <w:p>
            <w:pPr>
              <w:pStyle w:val="Compact"/>
            </w:pPr>
            <w:r>
              <w:t xml:space="preserve">Accounts, devices or paths affected</w:t>
            </w:r>
          </w:p>
        </w:tc>
        <w:tc>
          <w:tcPr/>
          <w:p>
            <w:pPr>
              <w:pStyle w:val="Compact"/>
            </w:pPr>
            <w:r>
              <w:t xml:space="preserve">Reason</w:t>
            </w:r>
          </w:p>
        </w:tc>
        <w:tc>
          <w:tcPr/>
          <w:p>
            <w:pPr>
              <w:pStyle w:val="Compact"/>
            </w:pPr>
            <w:r>
              <w:t xml:space="preserve">Compensating measures</w:t>
            </w:r>
          </w:p>
        </w:tc>
        <w:tc>
          <w:tcPr/>
          <w:p>
            <w:pPr>
              <w:pStyle w:val="Compact"/>
            </w:pPr>
            <w:r>
              <w:t xml:space="preserve">Approved by and date</w:t>
            </w:r>
          </w:p>
        </w:tc>
        <w:tc>
          <w:tcPr/>
          <w:p>
            <w:pPr>
              <w:pStyle w:val="Compact"/>
            </w:pPr>
            <w:r>
              <w:t xml:space="preserve">Plan of action and milestones ID</w:t>
            </w:r>
          </w:p>
        </w:tc>
        <w:tc>
          <w:tcPr/>
          <w:p>
            <w:pPr>
              <w:pStyle w:val="Compact"/>
            </w:pPr>
            <w:r>
              <w:t xml:space="preserve">Expiry</w:t>
            </w:r>
          </w:p>
        </w:tc>
      </w:tr>
      <w:tr>
        <w:tc>
          <w:tcPr/>
          <w:p>
            <w:pPr>
              <w:pStyle w:val="Compact"/>
            </w:pPr>
            <w:r>
              <w:rPr>
                <w:rStyle w:val="Fill-in"/>
              </w:rPr>
              <w:t xml:space="preserve">[Fill in: ID]</w:t>
            </w:r>
          </w:p>
        </w:tc>
        <w:tc>
          <w:tcPr/>
          <w:p>
            <w:pPr>
              <w:pStyle w:val="Compact"/>
            </w:pPr>
            <w:r>
              <w:rPr>
                <w:rStyle w:val="Fill-in"/>
              </w:rPr>
              <w:t xml:space="preserve">[Fill in: section and requirement]</w:t>
            </w:r>
          </w:p>
        </w:tc>
        <w:tc>
          <w:tcPr/>
          <w:p>
            <w:pPr>
              <w:pStyle w:val="Compact"/>
            </w:pPr>
            <w:r>
              <w:rPr>
                <w:rStyle w:val="Fill-in"/>
              </w:rPr>
              <w:t xml:space="preserve">[Fill in: scope]</w:t>
            </w:r>
          </w:p>
        </w:tc>
        <w:tc>
          <w:tcPr/>
          <w:p>
            <w:pPr>
              <w:pStyle w:val="Compact"/>
            </w:pPr>
            <w:r>
              <w:rPr>
                <w:rStyle w:val="Fill-in"/>
              </w:rPr>
              <w:t xml:space="preserve">[Fill in: reason]</w:t>
            </w:r>
          </w:p>
        </w:tc>
        <w:tc>
          <w:tcPr/>
          <w:p>
            <w:pPr>
              <w:pStyle w:val="Compact"/>
            </w:pPr>
            <w:r>
              <w:rPr>
                <w:rStyle w:val="Fill-in"/>
              </w:rPr>
              <w:t xml:space="preserve">[Fill in: measures]</w:t>
            </w:r>
          </w:p>
        </w:tc>
        <w:tc>
          <w:tcPr/>
          <w:p>
            <w:pPr>
              <w:pStyle w:val="Compact"/>
            </w:pPr>
            <w:r>
              <w:rPr>
                <w:rStyle w:val="Fill-in"/>
              </w:rPr>
              <w:t xml:space="preserve">[Fill in: name and date]</w:t>
            </w:r>
          </w:p>
        </w:tc>
        <w:tc>
          <w:tcPr/>
          <w:p>
            <w:pPr>
              <w:pStyle w:val="Compact"/>
            </w:pPr>
            <w:r>
              <w:rPr>
                <w:rStyle w:val="Fill-in"/>
              </w:rPr>
              <w:t xml:space="preserve">[Fill in: ID, or not a weakness]</w:t>
            </w:r>
          </w:p>
        </w:tc>
        <w:tc>
          <w:tcPr/>
          <w:p>
            <w:pPr>
              <w:pStyle w:val="Compact"/>
            </w:pPr>
            <w:r>
              <w:rPr>
                <w:rStyle w:val="Fill-in"/>
              </w:rPr>
              <w:t xml:space="preserve">[Fill in: date]</w:t>
            </w:r>
          </w:p>
        </w:tc>
      </w:tr>
    </w:tbl>
    <w:bookmarkEnd w:id="46"/>
    <w:bookmarkEnd w:id="47"/>
    <w:bookmarkStart w:id="48" w:name="review"/>
    <w:p>
      <w:pPr>
        <w:pStyle w:val="Heading2"/>
      </w:pPr>
      <w:r>
        <w:t xml:space="preserve">25. Review</w:t>
      </w:r>
    </w:p>
    <w:p>
      <w:pPr>
        <w:pStyle w:val="FirstParagraph"/>
      </w:pPr>
      <w:r>
        <w:t xml:space="preserve">The</w:t>
      </w:r>
      <w:r>
        <w:t xml:space="preserve"> </w:t>
      </w:r>
      <w:r>
        <w:rPr>
          <w:rStyle w:val="Fill-in"/>
        </w:rPr>
        <w:t xml:space="preserve">[Chief Information Security Officer]</w:t>
      </w:r>
      <w:r>
        <w:t xml:space="preserve"> </w:t>
      </w:r>
      <w:r>
        <w:t xml:space="preserve">reviews Part A</w:t>
      </w:r>
      <w:r>
        <w:t xml:space="preserve"> </w:t>
      </w:r>
      <w:r>
        <w:rPr>
          <w:rStyle w:val="Fill-in"/>
        </w:rPr>
        <w:t xml:space="preserve">[Fill in: for example annually]</w:t>
      </w:r>
      <w:r>
        <w:t xml:space="preserve">, and whenever NIST revises SP 800-63, a new authenticator type is adopted or retired, an incident involves stolen credentials, or the identification and authentication policy changes. Each system owner reviews Part B</w:t>
      </w:r>
      <w:r>
        <w:t xml:space="preserve"> </w:t>
      </w:r>
      <w:r>
        <w:rPr>
          <w:rStyle w:val="Fill-in"/>
        </w:rPr>
        <w:t xml:space="preserve">[Fill in: for example annually]</w:t>
      </w:r>
      <w:r>
        <w:t xml:space="preserve">, and when the system’s users, access paths or identity provider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48"/>
    <w:bookmarkEnd w:id="4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Identification and Authentication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1" Target="https://csrc.nist.gov/pubs/fips/140-3/final" TargetMode="External" /><Relationship Type="http://schemas.openxmlformats.org/officeDocument/2006/relationships/hyperlink" Id="rId33" Target="https://csrc.nist.gov/pubs/fips/201-3/final" TargetMode="External" /><Relationship Type="http://schemas.openxmlformats.org/officeDocument/2006/relationships/hyperlink" Id="rId32" Target="https://csrc.nist.gov/pubs/sp/800/63/4/final" TargetMode="External" /><Relationship Type="http://schemas.openxmlformats.org/officeDocument/2006/relationships/hyperlink" Id="rId30" Target="https://csrc.nist.gov/pubs/sp/800/63/b/4/final" TargetMode="External" /><Relationship Type="http://schemas.openxmlformats.org/officeDocument/2006/relationships/hyperlink" Id="rId12" Target="https://kston83.github.io/nist-guide/templates/forms/rules-of-behavior/" TargetMode="External" /><Relationship Type="http://schemas.openxmlformats.org/officeDocument/2006/relationships/hyperlink" Id="rId15" Target="https://kston83.github.io/nist-guide/templates/procedures/account-management-procedure/" TargetMode="External" /><Relationship Type="http://schemas.openxmlformats.org/officeDocument/2006/relationships/hyperlink" Id="rId17" Target="https://kston83.github.io/nist-guide/templates/standards/encryption-and-key-management-standard/" TargetMode="External" /><Relationship Type="http://schemas.openxmlformats.org/officeDocument/2006/relationships/hyperlink" Id="rId9" Target="https://kston83.github.io/nist-guide/templates/standards/identification-and-authentication-standard/" TargetMode="External" /><Relationship Type="http://schemas.openxmlformats.org/officeDocument/2006/relationships/hyperlink" Id="rId35" Target="https://www.whitehouse.gov/wp-content/uploads/2019/05/M-19-17.pdf" TargetMode="External" /><Relationship Type="http://schemas.openxmlformats.org/officeDocument/2006/relationships/hyperlink" Id="rId34" Target="https://www.whitehouse.gov/wp-content/uploads/2022/01/M-22-09.pdf" TargetMode="External" /><Relationship Type="http://schemas.openxmlformats.org/officeDocument/2006/relationships/hyperlink" Id="rId36" Target="https://www.whitehouse.gov/wp-content/uploads/2026/08/M-26-18-Scaling-Use-of-Login.gov-to-Deliver-a-Universal-Sign-on-for-Public-Service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1" Target="https://csrc.nist.gov/pubs/fips/140-3/final" TargetMode="External" /><Relationship Type="http://schemas.openxmlformats.org/officeDocument/2006/relationships/hyperlink" Id="rId33" Target="https://csrc.nist.gov/pubs/fips/201-3/final" TargetMode="External" /><Relationship Type="http://schemas.openxmlformats.org/officeDocument/2006/relationships/hyperlink" Id="rId32" Target="https://csrc.nist.gov/pubs/sp/800/63/4/final" TargetMode="External" /><Relationship Type="http://schemas.openxmlformats.org/officeDocument/2006/relationships/hyperlink" Id="rId30" Target="https://csrc.nist.gov/pubs/sp/800/63/b/4/final" TargetMode="External" /><Relationship Type="http://schemas.openxmlformats.org/officeDocument/2006/relationships/hyperlink" Id="rId12" Target="https://kston83.github.io/nist-guide/templates/forms/rules-of-behavior/" TargetMode="External" /><Relationship Type="http://schemas.openxmlformats.org/officeDocument/2006/relationships/hyperlink" Id="rId15" Target="https://kston83.github.io/nist-guide/templates/procedures/account-management-procedure/" TargetMode="External" /><Relationship Type="http://schemas.openxmlformats.org/officeDocument/2006/relationships/hyperlink" Id="rId17" Target="https://kston83.github.io/nist-guide/templates/standards/encryption-and-key-management-standard/" TargetMode="External" /><Relationship Type="http://schemas.openxmlformats.org/officeDocument/2006/relationships/hyperlink" Id="rId9" Target="https://kston83.github.io/nist-guide/templates/standards/identification-and-authentication-standard/" TargetMode="External" /><Relationship Type="http://schemas.openxmlformats.org/officeDocument/2006/relationships/hyperlink" Id="rId35" Target="https://www.whitehouse.gov/wp-content/uploads/2019/05/M-19-17.pdf" TargetMode="External" /><Relationship Type="http://schemas.openxmlformats.org/officeDocument/2006/relationships/hyperlink" Id="rId34" Target="https://www.whitehouse.gov/wp-content/uploads/2022/01/M-22-09.pdf" TargetMode="External" /><Relationship Type="http://schemas.openxmlformats.org/officeDocument/2006/relationships/hyperlink" Id="rId36" Target="https://www.whitehouse.gov/wp-content/uploads/2026/08/M-26-18-Scaling-Use-of-Login.gov-to-Deliver-a-Universal-Sign-on-for-Public-Service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