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remote-access-standard"/>
    <w:p>
      <w:pPr>
        <w:pStyle w:val="Heading1"/>
      </w:pPr>
      <w:r>
        <w:t xml:space="preserve">Remote Access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https://kston83.github.io/nist-guide/templates/standards/remote-access-standard/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standard sets the requirements for remote access to the systems of</w:t>
      </w:r>
      <w:r>
        <w:t xml:space="preserve"> </w:t>
      </w:r>
      <w:r>
        <w:rPr>
          <w:rStyle w:val="Fill-in"/>
        </w:rPr>
        <w:t xml:space="preserve">[Organization name]</w:t>
      </w:r>
      <w:r>
        <w:t xml:space="preserve">. Remote access is access to organizational systems by users, or processes acting on their behalf, that communicate through external networks such as the internet. It covers employees, contractors, partners and maintenance providers, working from home, from travel, or from another organization’s network. It does not cover public web services and other systems designed for public access.</w:t>
      </w:r>
    </w:p>
    <w:bookmarkEnd w:id="11"/>
    <w:bookmarkStart w:id="13"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approves new remote access methods and exceptions (AC-17a)</w:t>
            </w:r>
          </w:p>
        </w:tc>
      </w:tr>
      <w:tr>
        <w:tc>
          <w:tcPr/>
          <w:p>
            <w:pPr>
              <w:pStyle w:val="Compact"/>
            </w:pPr>
            <w:r>
              <w:rPr>
                <w:rStyle w:val="Fill-in"/>
              </w:rPr>
              <w:t xml:space="preserve">[Fill in: remote access service owner, for example the network engineering team]</w:t>
            </w:r>
          </w:p>
        </w:tc>
        <w:tc>
          <w:tcPr/>
          <w:p>
            <w:pPr>
              <w:pStyle w:val="Compact"/>
            </w:pPr>
            <w:r>
              <w:t xml:space="preserve">Runs the remote access service and its gateways; keeps them patched and configured to this standard</w:t>
            </w:r>
          </w:p>
        </w:tc>
      </w:tr>
      <w:tr>
        <w:tc>
          <w:tcPr/>
          <w:p>
            <w:pPr>
              <w:pStyle w:val="Compact"/>
            </w:pPr>
            <w:r>
              <w:rPr>
                <w:rStyle w:val="Fill-in"/>
              </w:rPr>
              <w:t xml:space="preserve">[System owner]</w:t>
            </w:r>
          </w:p>
        </w:tc>
        <w:tc>
          <w:tcPr/>
          <w:p>
            <w:pPr>
              <w:pStyle w:val="Compact"/>
            </w:pPr>
            <w:r>
              <w:t xml:space="preserve">Authorizes the remote access methods the system allows, records them in the system security plan, and approves remote privileged access (AC-17b, AC-17(4))</w:t>
            </w:r>
          </w:p>
        </w:tc>
      </w:tr>
      <w:tr>
        <w:tc>
          <w:tcPr/>
          <w:p>
            <w:pPr>
              <w:pStyle w:val="Compact"/>
            </w:pPr>
            <w:r>
              <w:rPr>
                <w:rStyle w:val="Fill-in"/>
              </w:rPr>
              <w:t xml:space="preserve">[Account manager]</w:t>
            </w:r>
          </w:p>
        </w:tc>
        <w:tc>
          <w:tcPr/>
          <w:p>
            <w:pPr>
              <w:pStyle w:val="Compact"/>
            </w:pPr>
            <w:r>
              <w:t xml:space="preserve">Grants remote access only to users whose access request includes it</w:t>
            </w:r>
          </w:p>
        </w:tc>
      </w:tr>
      <w:tr>
        <w:tc>
          <w:tcPr/>
          <w:p>
            <w:pPr>
              <w:pStyle w:val="Compact"/>
            </w:pPr>
            <w:r>
              <w:rPr>
                <w:rStyle w:val="Fill-in"/>
              </w:rPr>
              <w:t xml:space="preserve">[Security operations team]</w:t>
            </w:r>
          </w:p>
        </w:tc>
        <w:tc>
          <w:tcPr/>
          <w:p>
            <w:pPr>
              <w:pStyle w:val="Compact"/>
            </w:pPr>
            <w:r>
              <w:t xml:space="preserve">Monitors remote access and responds to alerts (AC-17(1))</w:t>
            </w:r>
          </w:p>
        </w:tc>
      </w:tr>
      <w:tr>
        <w:tc>
          <w:tcPr/>
          <w:p>
            <w:pPr>
              <w:pStyle w:val="Compact"/>
            </w:pPr>
            <w:r>
              <w:t xml:space="preserve">Users</w:t>
            </w:r>
          </w:p>
        </w:tc>
        <w:tc>
          <w:tcPr/>
          <w:p>
            <w:pPr>
              <w:pStyle w:val="Compact"/>
            </w:pPr>
            <w:r>
              <w:t xml:space="preserve">Connect only through the approved methods, as the</w:t>
            </w:r>
            <w:r>
              <w:t xml:space="preserve"> </w:t>
            </w:r>
            <w:hyperlink r:id="rId12">
              <w:r>
                <w:rPr>
                  <w:rStyle w:val="Hyperlink"/>
                </w:rPr>
                <w:t xml:space="preserve">Rules of Behavior</w:t>
              </w:r>
            </w:hyperlink>
            <w:r>
              <w:t xml:space="preserve"> </w:t>
            </w:r>
            <w:r>
              <w:t xml:space="preserve">require</w:t>
            </w:r>
          </w:p>
        </w:tc>
      </w:tr>
    </w:tbl>
    <w:bookmarkEnd w:id="13"/>
    <w:bookmarkStart w:id="14" w:name="allowed-remote-access-methods"/>
    <w:p>
      <w:pPr>
        <w:pStyle w:val="Heading2"/>
      </w:pPr>
      <w:r>
        <w:t xml:space="preserve">3. Allowed remote access methods</w:t>
      </w:r>
    </w:p>
    <w:p>
      <w:pPr>
        <w:pStyle w:val="Compact"/>
        <w:numPr>
          <w:ilvl w:val="0"/>
          <w:numId w:val="1001"/>
        </w:numPr>
      </w:pPr>
      <w:r>
        <w:t xml:space="preserve">Remote access shall use only the methods in this table, each with the requirements listed for it. (AC-17a)</w:t>
      </w:r>
    </w:p>
    <w:p>
      <w:pPr>
        <w:pStyle w:val="Compact"/>
        <w:numPr>
          <w:ilvl w:val="0"/>
          <w:numId w:val="1001"/>
        </w:numPr>
      </w:pPr>
      <w:r>
        <w:t xml:space="preserve">Each system owner shall authorize, in the system security plan, each remote access method the system allows before any connection by that method is made. (AC-17b)</w:t>
      </w:r>
    </w:p>
    <w:p>
      <w:pPr>
        <w:pStyle w:val="Compact"/>
        <w:numPr>
          <w:ilvl w:val="0"/>
          <w:numId w:val="1001"/>
        </w:numPr>
      </w:pPr>
      <w:r>
        <w:t xml:space="preserve">A new method, or a major change to one, shall be approved by the</w:t>
      </w:r>
      <w:r>
        <w:t xml:space="preserve"> </w:t>
      </w:r>
      <w:r>
        <w:rPr>
          <w:rStyle w:val="Fill-in"/>
        </w:rPr>
        <w:t xml:space="preserve">[Chief Information Security Officer]</w:t>
      </w:r>
      <w:r>
        <w:t xml:space="preserve"> </w:t>
      </w:r>
      <w:r>
        <w:t xml:space="preserve">after a test of a prototype covering connectivity, traffic protection, authentication, management, logging and performance, before it is put into production. (AC-17a)</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Method</w:t>
            </w:r>
          </w:p>
        </w:tc>
        <w:tc>
          <w:tcPr/>
          <w:p>
            <w:pPr>
              <w:pStyle w:val="Compact"/>
            </w:pPr>
            <w:r>
              <w:t xml:space="preserve">Category (SP 800-46)</w:t>
            </w:r>
          </w:p>
        </w:tc>
        <w:tc>
          <w:tcPr/>
          <w:p>
            <w:pPr>
              <w:pStyle w:val="Compact"/>
            </w:pPr>
            <w:r>
              <w:t xml:space="preserve">Allowed users</w:t>
            </w:r>
          </w:p>
        </w:tc>
        <w:tc>
          <w:tcPr/>
          <w:p>
            <w:pPr>
              <w:pStyle w:val="Compact"/>
            </w:pPr>
            <w:r>
              <w:t xml:space="preserve">Allowed devices (section 4)</w:t>
            </w:r>
          </w:p>
        </w:tc>
        <w:tc>
          <w:tcPr/>
          <w:p>
            <w:pPr>
              <w:pStyle w:val="Compact"/>
            </w:pPr>
            <w:r>
              <w:t xml:space="preserve">Authentication</w:t>
            </w:r>
          </w:p>
        </w:tc>
        <w:tc>
          <w:tcPr/>
          <w:p>
            <w:pPr>
              <w:pStyle w:val="Compact"/>
            </w:pPr>
            <w:r>
              <w:t xml:space="preserve">Connection point</w:t>
            </w:r>
          </w:p>
        </w:tc>
        <w:tc>
          <w:tcPr/>
          <w:p>
            <w:pPr>
              <w:pStyle w:val="Compact"/>
            </w:pPr>
            <w:r>
              <w:t xml:space="preserve">Status</w:t>
            </w:r>
          </w:p>
        </w:tc>
      </w:tr>
      <w:tr>
        <w:tc>
          <w:tcPr/>
          <w:p>
            <w:pPr>
              <w:pStyle w:val="Compact"/>
            </w:pPr>
            <w:r>
              <w:rPr>
                <w:rStyle w:val="Fill-in"/>
              </w:rPr>
              <w:t xml:space="preserve">[Fill in: for example the organization’s virtual private network]</w:t>
            </w:r>
          </w:p>
        </w:tc>
        <w:tc>
          <w:tcPr/>
          <w:p>
            <w:pPr>
              <w:pStyle w:val="Compact"/>
            </w:pPr>
            <w:r>
              <w:t xml:space="preserve">Tunneling</w:t>
            </w:r>
          </w:p>
        </w:tc>
        <w:tc>
          <w:tcPr/>
          <w:p>
            <w:pPr>
              <w:pStyle w:val="Compact"/>
            </w:pPr>
            <w:r>
              <w:rPr>
                <w:rStyle w:val="Fill-in"/>
              </w:rPr>
              <w:t xml:space="preserve">[Fill in: for example employees and contractors]</w:t>
            </w:r>
          </w:p>
        </w:tc>
        <w:tc>
          <w:tcPr/>
          <w:p>
            <w:pPr>
              <w:pStyle w:val="Compact"/>
            </w:pPr>
            <w:r>
              <w:rPr>
                <w:rStyle w:val="Fill-in"/>
              </w:rPr>
              <w:t xml:space="preserve">[Fill in: organization-issued]</w:t>
            </w:r>
          </w:p>
        </w:tc>
        <w:tc>
          <w:tcPr/>
          <w:p>
            <w:pPr>
              <w:pStyle w:val="Compact"/>
            </w:pPr>
            <w:r>
              <w:rPr>
                <w:rStyle w:val="Fill-in"/>
              </w:rPr>
              <w:t xml:space="preserve">[Fill in: multi-factor, with a device certificate]</w:t>
            </w:r>
          </w:p>
        </w:tc>
        <w:tc>
          <w:tcPr/>
          <w:p>
            <w:pPr>
              <w:pStyle w:val="Compact"/>
            </w:pPr>
            <w:r>
              <w:rPr>
                <w:rStyle w:val="Fill-in"/>
              </w:rPr>
              <w:t xml:space="preserve">[Fill in: VPN gateway at the internet edge]</w:t>
            </w:r>
          </w:p>
        </w:tc>
        <w:tc>
          <w:tcPr/>
          <w:p>
            <w:pPr>
              <w:pStyle w:val="Compact"/>
            </w:pPr>
            <w:r>
              <w:rPr>
                <w:rStyle w:val="Fill-in"/>
              </w:rPr>
              <w:t xml:space="preserve">[Fill in: approved]</w:t>
            </w:r>
          </w:p>
        </w:tc>
      </w:tr>
      <w:tr>
        <w:tc>
          <w:tcPr/>
          <w:p>
            <w:pPr>
              <w:pStyle w:val="Compact"/>
            </w:pPr>
            <w:r>
              <w:rPr>
                <w:rStyle w:val="Fill-in"/>
              </w:rPr>
              <w:t xml:space="preserve">[Fill in: for example a zero trust access service]</w:t>
            </w:r>
          </w:p>
        </w:tc>
        <w:tc>
          <w:tcPr/>
          <w:p>
            <w:pPr>
              <w:pStyle w:val="Compact"/>
            </w:pPr>
            <w:r>
              <w:t xml:space="preserve">Direct application access through a policy enforcement point</w:t>
            </w:r>
          </w:p>
        </w:tc>
        <w:tc>
          <w:tcPr/>
          <w:p>
            <w:pPr>
              <w:pStyle w:val="Compact"/>
            </w:pPr>
            <w:r>
              <w:rPr>
                <w:rStyle w:val="Fill-in"/>
              </w:rPr>
              <w:t xml:space="preserve">[Fill in: users]</w:t>
            </w:r>
          </w:p>
        </w:tc>
        <w:tc>
          <w:tcPr/>
          <w:p>
            <w:pPr>
              <w:pStyle w:val="Compact"/>
            </w:pPr>
            <w:r>
              <w:rPr>
                <w:rStyle w:val="Fill-in"/>
              </w:rPr>
              <w:t xml:space="preserve">[Fill in: organization-issued; managed personally owned devices for listed applications]</w:t>
            </w:r>
          </w:p>
        </w:tc>
        <w:tc>
          <w:tcPr/>
          <w:p>
            <w:pPr>
              <w:pStyle w:val="Compact"/>
            </w:pPr>
            <w:r>
              <w:rPr>
                <w:rStyle w:val="Fill-in"/>
              </w:rPr>
              <w:t xml:space="preserve">[Fill in: phishing-resistant multi-factor]</w:t>
            </w:r>
          </w:p>
        </w:tc>
        <w:tc>
          <w:tcPr/>
          <w:p>
            <w:pPr>
              <w:pStyle w:val="Compact"/>
            </w:pPr>
            <w:r>
              <w:rPr>
                <w:rStyle w:val="Fill-in"/>
              </w:rPr>
              <w:t xml:space="preserve">[Fill in: the service’s enforcement points]</w:t>
            </w:r>
          </w:p>
        </w:tc>
        <w:tc>
          <w:tcPr/>
          <w:p>
            <w:pPr>
              <w:pStyle w:val="Compact"/>
            </w:pPr>
            <w:r>
              <w:rPr>
                <w:rStyle w:val="Fill-in"/>
              </w:rPr>
              <w:t xml:space="preserve">[Fill in: status]</w:t>
            </w:r>
          </w:p>
        </w:tc>
      </w:tr>
      <w:tr>
        <w:tc>
          <w:tcPr/>
          <w:p>
            <w:pPr>
              <w:pStyle w:val="Compact"/>
            </w:pPr>
            <w:r>
              <w:rPr>
                <w:rStyle w:val="Fill-in"/>
              </w:rPr>
              <w:t xml:space="preserve">[Fill in: for example virtual desktop infrastructure]</w:t>
            </w:r>
          </w:p>
        </w:tc>
        <w:tc>
          <w:tcPr/>
          <w:p>
            <w:pPr>
              <w:pStyle w:val="Compact"/>
            </w:pPr>
            <w:r>
              <w:t xml:space="preserve">Remote desktop access, through a gateway</w:t>
            </w:r>
          </w:p>
        </w:tc>
        <w:tc>
          <w:tcPr/>
          <w:p>
            <w:pPr>
              <w:pStyle w:val="Compact"/>
            </w:pPr>
            <w:r>
              <w:rPr>
                <w:rStyle w:val="Fill-in"/>
              </w:rPr>
              <w:t xml:space="preserve">[Fill in: users]</w:t>
            </w:r>
          </w:p>
        </w:tc>
        <w:tc>
          <w:tcPr/>
          <w:p>
            <w:pPr>
              <w:pStyle w:val="Compact"/>
            </w:pPr>
            <w:r>
              <w:rPr>
                <w:rStyle w:val="Fill-in"/>
              </w:rPr>
              <w:t xml:space="preserve">[Fill in: devices]</w:t>
            </w:r>
          </w:p>
        </w:tc>
        <w:tc>
          <w:tcPr/>
          <w:p>
            <w:pPr>
              <w:pStyle w:val="Compact"/>
            </w:pPr>
            <w:r>
              <w:rPr>
                <w:rStyle w:val="Fill-in"/>
              </w:rPr>
              <w:t xml:space="preserve">[Fill in: authentication]</w:t>
            </w:r>
          </w:p>
        </w:tc>
        <w:tc>
          <w:tcPr/>
          <w:p>
            <w:pPr>
              <w:pStyle w:val="Compact"/>
            </w:pPr>
            <w:r>
              <w:rPr>
                <w:rStyle w:val="Fill-in"/>
              </w:rPr>
              <w:t xml:space="preserve">[Fill in: remote desktop gateway]</w:t>
            </w:r>
          </w:p>
        </w:tc>
        <w:tc>
          <w:tcPr/>
          <w:p>
            <w:pPr>
              <w:pStyle w:val="Compact"/>
            </w:pPr>
            <w:r>
              <w:rPr>
                <w:rStyle w:val="Fill-in"/>
              </w:rPr>
              <w:t xml:space="preserve">[Fill in: status]</w:t>
            </w:r>
          </w:p>
        </w:tc>
      </w:tr>
      <w:tr>
        <w:tc>
          <w:tcPr/>
          <w:p>
            <w:pPr>
              <w:pStyle w:val="Compact"/>
            </w:pPr>
            <w:r>
              <w:rPr>
                <w:rStyle w:val="Fill-in"/>
              </w:rPr>
              <w:t xml:space="preserve">[Fill in: for example web email and software-as-a-service applications]</w:t>
            </w:r>
          </w:p>
        </w:tc>
        <w:tc>
          <w:tcPr/>
          <w:p>
            <w:pPr>
              <w:pStyle w:val="Compact"/>
            </w:pPr>
            <w:r>
              <w:t xml:space="preserve">Portal or direct application access</w:t>
            </w:r>
          </w:p>
        </w:tc>
        <w:tc>
          <w:tcPr/>
          <w:p>
            <w:pPr>
              <w:pStyle w:val="Compact"/>
            </w:pPr>
            <w:r>
              <w:rPr>
                <w:rStyle w:val="Fill-in"/>
              </w:rPr>
              <w:t xml:space="preserve">[Fill in: users]</w:t>
            </w:r>
          </w:p>
        </w:tc>
        <w:tc>
          <w:tcPr/>
          <w:p>
            <w:pPr>
              <w:pStyle w:val="Compact"/>
            </w:pPr>
            <w:r>
              <w:rPr>
                <w:rStyle w:val="Fill-in"/>
              </w:rPr>
              <w:t xml:space="preserve">[Fill in: devices]</w:t>
            </w:r>
          </w:p>
        </w:tc>
        <w:tc>
          <w:tcPr/>
          <w:p>
            <w:pPr>
              <w:pStyle w:val="Compact"/>
            </w:pPr>
            <w:r>
              <w:rPr>
                <w:rStyle w:val="Fill-in"/>
              </w:rPr>
              <w:t xml:space="preserve">[Fill in: authentication, through the identity provider]</w:t>
            </w:r>
          </w:p>
        </w:tc>
        <w:tc>
          <w:tcPr/>
          <w:p>
            <w:pPr>
              <w:pStyle w:val="Compact"/>
            </w:pPr>
            <w:r>
              <w:rPr>
                <w:rStyle w:val="Fill-in"/>
              </w:rPr>
              <w:t xml:space="preserve">[Fill in: the provider’s service]</w:t>
            </w:r>
          </w:p>
        </w:tc>
        <w:tc>
          <w:tcPr/>
          <w:p>
            <w:pPr>
              <w:pStyle w:val="Compact"/>
            </w:pPr>
            <w:r>
              <w:rPr>
                <w:rStyle w:val="Fill-in"/>
              </w:rPr>
              <w:t xml:space="preserve">[Fill in: status]</w:t>
            </w:r>
          </w:p>
        </w:tc>
      </w:tr>
      <w:tr>
        <w:tc>
          <w:tcPr/>
          <w:p>
            <w:pPr>
              <w:pStyle w:val="Compact"/>
            </w:pPr>
            <w:r>
              <w:rPr>
                <w:rStyle w:val="Fill-in"/>
              </w:rPr>
              <w:t xml:space="preserve">[Fill in: for example the privileged access service]</w:t>
            </w:r>
          </w:p>
        </w:tc>
        <w:tc>
          <w:tcPr/>
          <w:p>
            <w:pPr>
              <w:pStyle w:val="Compact"/>
            </w:pPr>
            <w:r>
              <w:t xml:space="preserve">Remote desktop or shell access, through a gateway</w:t>
            </w:r>
          </w:p>
        </w:tc>
        <w:tc>
          <w:tcPr/>
          <w:p>
            <w:pPr>
              <w:pStyle w:val="Compact"/>
            </w:pPr>
            <w:r>
              <w:t xml:space="preserve">Administrators</w:t>
            </w:r>
          </w:p>
        </w:tc>
        <w:tc>
          <w:tcPr/>
          <w:p>
            <w:pPr>
              <w:pStyle w:val="Compact"/>
            </w:pPr>
            <w:r>
              <w:t xml:space="preserve">Organization-issued, hardened administration devices</w:t>
            </w:r>
          </w:p>
        </w:tc>
        <w:tc>
          <w:tcPr/>
          <w:p>
            <w:pPr>
              <w:pStyle w:val="Compact"/>
            </w:pPr>
            <w:r>
              <w:t xml:space="preserve">Phishing-resistant multi-factor</w:t>
            </w:r>
          </w:p>
        </w:tc>
        <w:tc>
          <w:tcPr/>
          <w:p>
            <w:pPr>
              <w:pStyle w:val="Compact"/>
            </w:pPr>
            <w:r>
              <w:rPr>
                <w:rStyle w:val="Fill-in"/>
              </w:rPr>
              <w:t xml:space="preserve">[Fill in: privileged access gateway]</w:t>
            </w:r>
          </w:p>
        </w:tc>
        <w:tc>
          <w:tcPr/>
          <w:p>
            <w:pPr>
              <w:pStyle w:val="Compact"/>
            </w:pPr>
            <w:r>
              <w:rPr>
                <w:rStyle w:val="Fill-in"/>
              </w:rPr>
              <w:t xml:space="preserve">[Fill in: status]</w:t>
            </w:r>
          </w:p>
        </w:tc>
      </w:tr>
    </w:tbl>
    <w:p>
      <w:pPr>
        <w:pStyle w:val="BodyText"/>
      </w:pPr>
      <w:r>
        <w:t xml:space="preserve">These methods are prohibited:</w:t>
      </w:r>
    </w:p>
    <w:p>
      <w:pPr>
        <w:pStyle w:val="Compact"/>
        <w:numPr>
          <w:ilvl w:val="0"/>
          <w:numId w:val="1002"/>
        </w:numPr>
      </w:pPr>
      <w:r>
        <w:t xml:space="preserve">Remote desktop, secure shell, database and other administrative services exposed directly to the internet. (AC-17(3))</w:t>
      </w:r>
    </w:p>
    <w:p>
      <w:pPr>
        <w:pStyle w:val="Compact"/>
        <w:numPr>
          <w:ilvl w:val="0"/>
          <w:numId w:val="1002"/>
        </w:numPr>
      </w:pPr>
      <w:r>
        <w:t xml:space="preserve">Remote support or remote control tools a vendor or user installs outside the methods above. (AC-17a)</w:t>
      </w:r>
    </w:p>
    <w:p>
      <w:pPr>
        <w:pStyle w:val="Compact"/>
        <w:numPr>
          <w:ilvl w:val="0"/>
          <w:numId w:val="1002"/>
        </w:numPr>
      </w:pPr>
      <w:r>
        <w:t xml:space="preserve">Dial-in modems and other connections that bypass the managed connection points. (AC-17(3))</w:t>
      </w:r>
    </w:p>
    <w:p>
      <w:pPr>
        <w:pStyle w:val="Compact"/>
        <w:numPr>
          <w:ilvl w:val="0"/>
          <w:numId w:val="1002"/>
        </w:numPr>
      </w:pPr>
      <w:r>
        <w:rPr>
          <w:rStyle w:val="Fill-in"/>
        </w:rPr>
        <w:t xml:space="preserve">[Fill in: other prohibited methods]</w:t>
      </w:r>
    </w:p>
    <w:bookmarkEnd w:id="14"/>
    <w:bookmarkStart w:id="15" w:name="devices-and-access-tiers"/>
    <w:p>
      <w:pPr>
        <w:pStyle w:val="Heading2"/>
      </w:pPr>
      <w:r>
        <w:t xml:space="preserve">4. Devices and access tiers</w:t>
      </w:r>
    </w:p>
    <w:p>
      <w:pPr>
        <w:pStyle w:val="Compact"/>
        <w:numPr>
          <w:ilvl w:val="0"/>
          <w:numId w:val="1003"/>
        </w:numPr>
      </w:pPr>
      <w:r>
        <w:t xml:space="preserve">Remote access shall be allowed only from the device types this table permits, to the resources it lists for each. (AC-17a)</w:t>
      </w:r>
    </w:p>
    <w:p>
      <w:pPr>
        <w:pStyle w:val="Compact"/>
        <w:numPr>
          <w:ilvl w:val="0"/>
          <w:numId w:val="1003"/>
        </w:numPr>
      </w:pPr>
      <w:r>
        <w:t xml:space="preserve">Personally owned devices the organization does not manage, and public or shared computers, shall not be used for remote access, as the Access Control Policy’s AC-20 statements require. (AC-17a)</w:t>
      </w:r>
    </w:p>
    <w:p>
      <w:pPr>
        <w:pStyle w:val="Compact"/>
        <w:numPr>
          <w:ilvl w:val="0"/>
          <w:numId w:val="1003"/>
        </w:numPr>
      </w:pPr>
      <w:r>
        <w:t xml:space="preserve">A personally owned device shall be used only where the organization has approved and enrolled it in device management, and only for the resources this table allows. (AC-17a)</w:t>
      </w:r>
    </w:p>
    <w:p>
      <w:pPr>
        <w:pStyle w:val="Compact"/>
        <w:numPr>
          <w:ilvl w:val="0"/>
          <w:numId w:val="1003"/>
        </w:numPr>
      </w:pPr>
      <w:r>
        <w:t xml:space="preserve">The remote access service shall check each device’s identity and compliance before connecting it, where the method supports it, and block devices that fail. (AC-17(1))</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Resource tier</w:t>
            </w:r>
          </w:p>
        </w:tc>
        <w:tc>
          <w:tcPr/>
          <w:p>
            <w:pPr>
              <w:pStyle w:val="Compact"/>
            </w:pPr>
            <w:r>
              <w:t xml:space="preserve">Organization-issued device</w:t>
            </w:r>
          </w:p>
        </w:tc>
        <w:tc>
          <w:tcPr/>
          <w:p>
            <w:pPr>
              <w:pStyle w:val="Compact"/>
            </w:pPr>
            <w:r>
              <w:t xml:space="preserve">Personally owned device, approved and managed</w:t>
            </w:r>
          </w:p>
        </w:tc>
        <w:tc>
          <w:tcPr/>
          <w:p>
            <w:pPr>
              <w:pStyle w:val="Compact"/>
            </w:pPr>
            <w:r>
              <w:t xml:space="preserve">Unmanaged or public device</w:t>
            </w:r>
          </w:p>
        </w:tc>
      </w:tr>
      <w:tr>
        <w:tc>
          <w:tcPr/>
          <w:p>
            <w:pPr>
              <w:pStyle w:val="Compact"/>
            </w:pPr>
            <w:r>
              <w:t xml:space="preserve">Email, calendar and collaboration</w:t>
            </w:r>
          </w:p>
        </w:tc>
        <w:tc>
          <w:tcPr/>
          <w:p>
            <w:pPr>
              <w:pStyle w:val="Compact"/>
            </w:pPr>
            <w:r>
              <w:rPr>
                <w:rStyle w:val="Fill-in"/>
              </w:rPr>
              <w:t xml:space="preserve">[Fill in: allowed]</w:t>
            </w:r>
          </w:p>
        </w:tc>
        <w:tc>
          <w:tcPr/>
          <w:p>
            <w:pPr>
              <w:pStyle w:val="Compact"/>
            </w:pPr>
            <w:r>
              <w:rPr>
                <w:rStyle w:val="Fill-in"/>
              </w:rPr>
              <w:t xml:space="preserve">[Fill in: allowed]</w:t>
            </w:r>
          </w:p>
        </w:tc>
        <w:tc>
          <w:tcPr/>
          <w:p>
            <w:pPr>
              <w:pStyle w:val="Compact"/>
            </w:pPr>
            <w:r>
              <w:t xml:space="preserve">Not allowed</w:t>
            </w:r>
          </w:p>
        </w:tc>
      </w:tr>
      <w:tr>
        <w:tc>
          <w:tcPr/>
          <w:p>
            <w:pPr>
              <w:pStyle w:val="Compact"/>
            </w:pPr>
            <w:r>
              <w:t xml:space="preserve">Internal business applications</w:t>
            </w:r>
          </w:p>
        </w:tc>
        <w:tc>
          <w:tcPr/>
          <w:p>
            <w:pPr>
              <w:pStyle w:val="Compact"/>
            </w:pPr>
            <w:r>
              <w:rPr>
                <w:rStyle w:val="Fill-in"/>
              </w:rPr>
              <w:t xml:space="preserve">[Fill in: allowed]</w:t>
            </w:r>
          </w:p>
        </w:tc>
        <w:tc>
          <w:tcPr/>
          <w:p>
            <w:pPr>
              <w:pStyle w:val="Compact"/>
            </w:pPr>
            <w:r>
              <w:rPr>
                <w:rStyle w:val="Fill-in"/>
              </w:rPr>
              <w:t xml:space="preserve">[Fill in: for example through virtual desktop only]</w:t>
            </w:r>
          </w:p>
        </w:tc>
        <w:tc>
          <w:tcPr/>
          <w:p>
            <w:pPr>
              <w:pStyle w:val="Compact"/>
            </w:pPr>
            <w:r>
              <w:t xml:space="preserve">Not allowed</w:t>
            </w:r>
          </w:p>
        </w:tc>
      </w:tr>
      <w:tr>
        <w:tc>
          <w:tcPr/>
          <w:p>
            <w:pPr>
              <w:pStyle w:val="Compact"/>
            </w:pPr>
            <w:r>
              <w:t xml:space="preserve">Systems holding sensitive or personally identifiable information</w:t>
            </w:r>
          </w:p>
        </w:tc>
        <w:tc>
          <w:tcPr/>
          <w:p>
            <w:pPr>
              <w:pStyle w:val="Compact"/>
            </w:pPr>
            <w:r>
              <w:rPr>
                <w:rStyle w:val="Fill-in"/>
              </w:rPr>
              <w:t xml:space="preserve">[Fill in: allowed]</w:t>
            </w:r>
          </w:p>
        </w:tc>
        <w:tc>
          <w:tcPr/>
          <w:p>
            <w:pPr>
              <w:pStyle w:val="Compact"/>
            </w:pPr>
            <w:r>
              <w:rPr>
                <w:rStyle w:val="Fill-in"/>
              </w:rPr>
              <w:t xml:space="preserve">[Fill in: for example not allowed]</w:t>
            </w:r>
          </w:p>
        </w:tc>
        <w:tc>
          <w:tcPr/>
          <w:p>
            <w:pPr>
              <w:pStyle w:val="Compact"/>
            </w:pPr>
            <w:r>
              <w:t xml:space="preserve">Not allowed</w:t>
            </w:r>
          </w:p>
        </w:tc>
      </w:tr>
      <w:tr>
        <w:tc>
          <w:tcPr/>
          <w:p>
            <w:pPr>
              <w:pStyle w:val="Compact"/>
            </w:pPr>
            <w:r>
              <w:t xml:space="preserve">Administration of systems and security functions</w:t>
            </w:r>
          </w:p>
        </w:tc>
        <w:tc>
          <w:tcPr/>
          <w:p>
            <w:pPr>
              <w:pStyle w:val="Compact"/>
            </w:pPr>
            <w:r>
              <w:rPr>
                <w:rStyle w:val="Fill-in"/>
              </w:rPr>
              <w:t xml:space="preserve">[Fill in: allowed from hardened administration devices only]</w:t>
            </w:r>
          </w:p>
        </w:tc>
        <w:tc>
          <w:tcPr/>
          <w:p>
            <w:pPr>
              <w:pStyle w:val="Compact"/>
            </w:pPr>
            <w:r>
              <w:t xml:space="preserve">Not allowed</w:t>
            </w:r>
          </w:p>
        </w:tc>
        <w:tc>
          <w:tcPr/>
          <w:p>
            <w:pPr>
              <w:pStyle w:val="Compact"/>
            </w:pPr>
            <w:r>
              <w:t xml:space="preserve">Not allowed</w:t>
            </w:r>
          </w:p>
        </w:tc>
      </w:tr>
    </w:tbl>
    <w:p>
      <w:pPr>
        <w:pStyle w:val="BodyText"/>
      </w:pPr>
      <w:r>
        <w:t xml:space="preserve">Organization-issued remote devices shall have full-disk encryption, endpoint protection, current security updates and the organization’s secure configuration, the same as devices used on site. (AC-17a)</w:t>
      </w:r>
    </w:p>
    <w:bookmarkEnd w:id="15"/>
    <w:bookmarkStart w:id="16" w:name="authentication"/>
    <w:p>
      <w:pPr>
        <w:pStyle w:val="Heading2"/>
      </w:pPr>
      <w:r>
        <w:t xml:space="preserve">5. Authentication</w:t>
      </w:r>
    </w:p>
    <w:p>
      <w:pPr>
        <w:pStyle w:val="Compact"/>
        <w:numPr>
          <w:ilvl w:val="0"/>
          <w:numId w:val="1004"/>
        </w:numPr>
      </w:pPr>
      <w:r>
        <w:t xml:space="preserve">Every remote access session shall authenticate the user with multi-factor authentication, using a replay-resistant authenticator, before granting access to any resource. (AC-17a)</w:t>
      </w:r>
    </w:p>
    <w:p>
      <w:pPr>
        <w:pStyle w:val="Compact"/>
        <w:numPr>
          <w:ilvl w:val="0"/>
          <w:numId w:val="1004"/>
        </w:numPr>
      </w:pPr>
      <w:r>
        <w:t xml:space="preserve">Privileged remote access shall use a phishing-resistant authenticator, such as a public key credential bound to the device or a hardware security key. (AC-17(4))</w:t>
      </w:r>
    </w:p>
    <w:p>
      <w:pPr>
        <w:pStyle w:val="Compact"/>
        <w:numPr>
          <w:ilvl w:val="0"/>
          <w:numId w:val="1004"/>
        </w:numPr>
      </w:pPr>
      <w:r>
        <w:t xml:space="preserve">Where the method supports it, the remote access service and the client shall authenticate each other, so the user can verify the service before providing credentials. (AC-17a)</w:t>
      </w:r>
    </w:p>
    <w:p>
      <w:pPr>
        <w:pStyle w:val="Compact"/>
        <w:numPr>
          <w:ilvl w:val="0"/>
          <w:numId w:val="1004"/>
        </w:numPr>
      </w:pPr>
      <w:r>
        <w:t xml:space="preserve">Remote access shall be granted only to accounts whose approved access request includes it, and shall end when the account is disabled. (AC-17b)</w:t>
      </w:r>
    </w:p>
    <w:bookmarkEnd w:id="16"/>
    <w:bookmarkStart w:id="18" w:name="encryption"/>
    <w:p>
      <w:pPr>
        <w:pStyle w:val="Heading2"/>
      </w:pPr>
      <w:r>
        <w:t xml:space="preserve">6. Encryption</w:t>
      </w:r>
    </w:p>
    <w:p>
      <w:pPr>
        <w:pStyle w:val="Compact"/>
        <w:numPr>
          <w:ilvl w:val="0"/>
          <w:numId w:val="1005"/>
        </w:numPr>
      </w:pPr>
      <w:r>
        <w:t xml:space="preserve">Remote access sessions shall be protected with cryptographic mechanisms that protect their confidentiality and integrity from end to end over external networks. (AC-17(2))</w:t>
      </w:r>
    </w:p>
    <w:p>
      <w:pPr>
        <w:pStyle w:val="Compact"/>
        <w:numPr>
          <w:ilvl w:val="0"/>
          <w:numId w:val="1005"/>
        </w:numPr>
      </w:pPr>
      <w:r>
        <w:t xml:space="preserve">The protocols, versions, algorithms and modules shall be those the</w:t>
      </w:r>
      <w:r>
        <w:t xml:space="preserve"> </w:t>
      </w:r>
      <w:hyperlink r:id="rId17">
        <w:r>
          <w:rPr>
            <w:rStyle w:val="Hyperlink"/>
          </w:rPr>
          <w:t xml:space="preserve">encryption and key management standard</w:t>
        </w:r>
      </w:hyperlink>
      <w:r>
        <w:t xml:space="preserve"> </w:t>
      </w:r>
      <w:r>
        <w:t xml:space="preserve">sets for data in transit. (AC-17(2))</w:t>
      </w:r>
    </w:p>
    <w:p>
      <w:pPr>
        <w:pStyle w:val="Compact"/>
        <w:numPr>
          <w:ilvl w:val="0"/>
          <w:numId w:val="1005"/>
        </w:numPr>
      </w:pPr>
      <w:r>
        <w:t xml:space="preserve">Protocols that send credentials or session content unencrypted shall not be used for remote access. (AC-17(2))</w:t>
      </w:r>
    </w:p>
    <w:bookmarkEnd w:id="18"/>
    <w:bookmarkStart w:id="20" w:name="managed-connection-points"/>
    <w:p>
      <w:pPr>
        <w:pStyle w:val="Heading2"/>
      </w:pPr>
      <w:r>
        <w:t xml:space="preserve">7. Managed connection points</w:t>
      </w:r>
    </w:p>
    <w:p>
      <w:pPr>
        <w:pStyle w:val="Compact"/>
        <w:numPr>
          <w:ilvl w:val="0"/>
          <w:numId w:val="1006"/>
        </w:numPr>
      </w:pPr>
      <w:r>
        <w:t xml:space="preserve">All remote access shall be routed through the authorized and managed network access control points listed in section 3. (AC-17(3))</w:t>
      </w:r>
    </w:p>
    <w:p>
      <w:pPr>
        <w:pStyle w:val="Compact"/>
        <w:numPr>
          <w:ilvl w:val="0"/>
          <w:numId w:val="1006"/>
        </w:numPr>
      </w:pPr>
      <w:r>
        <w:t xml:space="preserve">The connection points shall be few, placed at the network edge or in front of the resources they protect, and managed as managed interfaces under the</w:t>
      </w:r>
      <w:r>
        <w:t xml:space="preserve"> </w:t>
      </w:r>
      <w:hyperlink r:id="rId19">
        <w:r>
          <w:rPr>
            <w:rStyle w:val="Hyperlink"/>
          </w:rPr>
          <w:t xml:space="preserve">boundary protection standard</w:t>
        </w:r>
      </w:hyperlink>
      <w:r>
        <w:t xml:space="preserve">, including its split tunneling rule (SC-7(7)). (AC-17(3))</w:t>
      </w:r>
    </w:p>
    <w:p>
      <w:pPr>
        <w:pStyle w:val="Compact"/>
        <w:numPr>
          <w:ilvl w:val="0"/>
          <w:numId w:val="1006"/>
        </w:numPr>
      </w:pPr>
      <w:r>
        <w:t xml:space="preserve">Remote access servers and gateways shall be kept fully patched, operated to the organization’s secure configuration baseline, and administered only by authorized administrators from trusted hosts. (AC-17(3))</w:t>
      </w:r>
    </w:p>
    <w:bookmarkEnd w:id="20"/>
    <w:bookmarkStart w:id="21" w:name="sessions"/>
    <w:p>
      <w:pPr>
        <w:pStyle w:val="Heading2"/>
      </w:pPr>
      <w:r>
        <w:t xml:space="preserve">8. Sessions</w:t>
      </w:r>
    </w:p>
    <w:p>
      <w:pPr>
        <w:pStyle w:val="Compact"/>
        <w:numPr>
          <w:ilvl w:val="0"/>
          <w:numId w:val="1007"/>
        </w:numPr>
      </w:pPr>
      <w:r>
        <w:t xml:space="preserve">The system shall automatically terminate a remote user session after</w:t>
      </w:r>
      <w:r>
        <w:t xml:space="preserve"> </w:t>
      </w:r>
      <w:r>
        <w:rPr>
          <w:rStyle w:val="Fill-in"/>
        </w:rPr>
        <w:t xml:space="preserve">[Fill in: conditions or trigger events requiring session disconnect. Typical: 30 minutes of inactivity for remote and web sessions, or at the end of the maximum session lifetime]</w:t>
      </w:r>
      <w:r>
        <w:t xml:space="preserve">. (AC-12)</w:t>
      </w:r>
    </w:p>
    <w:p>
      <w:pPr>
        <w:pStyle w:val="Compact"/>
        <w:numPr>
          <w:ilvl w:val="0"/>
          <w:numId w:val="1007"/>
        </w:numPr>
      </w:pPr>
      <w:r>
        <w:t xml:space="preserve">The network connection associated with a remote session shall be terminated at the end of the session or after</w:t>
      </w:r>
      <w:r>
        <w:t xml:space="preserve"> </w:t>
      </w:r>
      <w:r>
        <w:rPr>
          <w:rStyle w:val="Fill-in"/>
        </w:rPr>
        <w:t xml:space="preserve">[Fill in: a time period of inactivity after which the system terminates a network connection associated with a communication session. Typical: 30 minutes]</w:t>
      </w:r>
      <w:r>
        <w:t xml:space="preserve"> </w:t>
      </w:r>
      <w:r>
        <w:t xml:space="preserve">of inactivity. (SC-10)</w:t>
      </w:r>
    </w:p>
    <w:p>
      <w:pPr>
        <w:pStyle w:val="Compact"/>
        <w:numPr>
          <w:ilvl w:val="0"/>
          <w:numId w:val="1007"/>
        </w:numPr>
      </w:pPr>
      <w:r>
        <w:t xml:space="preserve">A user shall reauthenticate after a session is terminated, and after</w:t>
      </w:r>
      <w:r>
        <w:t xml:space="preserve"> </w:t>
      </w:r>
      <w:r>
        <w:rPr>
          <w:rStyle w:val="Fill-in"/>
        </w:rPr>
        <w:t xml:space="preserve">[Fill in: for example 12 hours]</w:t>
      </w:r>
      <w:r>
        <w:t xml:space="preserve">, the maximum session lifetime, even if the session is active. (AC-12)</w:t>
      </w:r>
    </w:p>
    <w:bookmarkEnd w:id="21"/>
    <w:bookmarkStart w:id="22" w:name="monitoring-and-control"/>
    <w:p>
      <w:pPr>
        <w:pStyle w:val="Heading2"/>
      </w:pPr>
      <w:r>
        <w:t xml:space="preserve">9. Monitoring and control</w:t>
      </w:r>
    </w:p>
    <w:p>
      <w:pPr>
        <w:pStyle w:val="Compact"/>
        <w:numPr>
          <w:ilvl w:val="0"/>
          <w:numId w:val="1008"/>
        </w:numPr>
      </w:pPr>
      <w:r>
        <w:t xml:space="preserve">The remote access service shall log each connection: the user, the device, the source address, the method, the start and end times, and the resources reached. Logs shall be sent to</w:t>
      </w:r>
      <w:r>
        <w:t xml:space="preserve"> </w:t>
      </w:r>
      <w:r>
        <w:rPr>
          <w:rStyle w:val="Fill-in"/>
        </w:rPr>
        <w:t xml:space="preserve">[Fill in: for example the security information and event management system]</w:t>
      </w:r>
      <w:r>
        <w:t xml:space="preserve">. (AC-17(1))</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alert on and review</w:t>
      </w:r>
      <w:r>
        <w:t xml:space="preserve"> </w:t>
      </w:r>
      <w:r>
        <w:rPr>
          <w:rStyle w:val="Fill-in"/>
        </w:rPr>
        <w:t xml:space="preserve">[Fill in: for example logons from unexpected countries, impossible travel, connections from devices that failed compliance checks, repeated failed authentication, and remote access by disabled or dormant accounts]</w:t>
      </w:r>
      <w:r>
        <w:t xml:space="preserve">. (AC-17(1))</w:t>
      </w:r>
    </w:p>
    <w:p>
      <w:pPr>
        <w:pStyle w:val="Compact"/>
        <w:numPr>
          <w:ilvl w:val="0"/>
          <w:numId w:val="1008"/>
        </w:numPr>
      </w:pPr>
      <w:r>
        <w:t xml:space="preserve">The remote access service shall be able to disconnect a user’s sessions and block an account or device within</w:t>
      </w:r>
      <w:r>
        <w:t xml:space="preserve"> </w:t>
      </w:r>
      <w:r>
        <w:rPr>
          <w:rStyle w:val="Fill-in"/>
        </w:rPr>
        <w:t xml:space="preserve">[Fill in: for example 15 minutes]</w:t>
      </w:r>
      <w:r>
        <w:t xml:space="preserve"> </w:t>
      </w:r>
      <w:r>
        <w:t xml:space="preserve">of a decision to do so. (AC-17(1))</w:t>
      </w:r>
    </w:p>
    <w:p>
      <w:pPr>
        <w:pStyle w:val="Compact"/>
        <w:numPr>
          <w:ilvl w:val="0"/>
          <w:numId w:val="1008"/>
        </w:numPr>
      </w:pPr>
      <w:r>
        <w:t xml:space="preserve">The</w:t>
      </w:r>
      <w:r>
        <w:t xml:space="preserve"> </w:t>
      </w:r>
      <w:r>
        <w:rPr>
          <w:rStyle w:val="Fill-in"/>
        </w:rPr>
        <w:t xml:space="preserve">[Fill in: remote access service owner]</w:t>
      </w:r>
      <w:r>
        <w:t xml:space="preserve"> </w:t>
      </w:r>
      <w:r>
        <w:t xml:space="preserve">shall review the remote access configuration and the list of authorized users</w:t>
      </w:r>
      <w:r>
        <w:t xml:space="preserve"> </w:t>
      </w:r>
      <w:r>
        <w:rPr>
          <w:rStyle w:val="Fill-in"/>
        </w:rPr>
        <w:t xml:space="preserve">[Fill in: for example quarterly]</w:t>
      </w:r>
      <w:r>
        <w:t xml:space="preserve">, and remove access no longer needed. (AC-17(1))</w:t>
      </w:r>
    </w:p>
    <w:bookmarkEnd w:id="22"/>
    <w:bookmarkStart w:id="23" w:name="remote-privileged-access"/>
    <w:p>
      <w:pPr>
        <w:pStyle w:val="Heading2"/>
      </w:pPr>
      <w:r>
        <w:t xml:space="preserve">10. Remote privileged access</w:t>
      </w:r>
    </w:p>
    <w:p>
      <w:pPr>
        <w:pStyle w:val="Compact"/>
        <w:numPr>
          <w:ilvl w:val="0"/>
          <w:numId w:val="1009"/>
        </w:numPr>
      </w:pPr>
      <w:r>
        <w:t xml:space="preserve">Privileged commands shall be executed via remote access only for</w:t>
      </w:r>
      <w:r>
        <w:t xml:space="preserve"> </w:t>
      </w:r>
      <w:r>
        <w:rPr>
          <w:rStyle w:val="Fill-in"/>
        </w:rPr>
        <w:t xml:space="preserve">[Fill in: needs requiring execution of privileged commands via remote access. Typical: emergency administration outside business hours and administration of cloud-hosted components]</w:t>
      </w:r>
      <w:r>
        <w:t xml:space="preserve">. (AC-17(4)(a))</w:t>
      </w:r>
    </w:p>
    <w:p>
      <w:pPr>
        <w:pStyle w:val="Compact"/>
        <w:numPr>
          <w:ilvl w:val="0"/>
          <w:numId w:val="1009"/>
        </w:numPr>
      </w:pPr>
      <w:r>
        <w:t xml:space="preserve">Security-relevant information, such as audit logs, security settings and access control lists, shall be accessed via remote access only for</w:t>
      </w:r>
      <w:r>
        <w:t xml:space="preserve"> </w:t>
      </w:r>
      <w:r>
        <w:rPr>
          <w:rStyle w:val="Fill-in"/>
        </w:rPr>
        <w:t xml:space="preserve">[Fill in: needs requiring access to security-relevant information via remote access. Typical: investigation of security incidents]</w:t>
      </w:r>
      <w:r>
        <w:t xml:space="preserve">. (AC-17(4)(a))</w:t>
      </w:r>
    </w:p>
    <w:p>
      <w:pPr>
        <w:pStyle w:val="Compact"/>
        <w:numPr>
          <w:ilvl w:val="0"/>
          <w:numId w:val="1009"/>
        </w:numPr>
      </w:pPr>
      <w:r>
        <w:t xml:space="preserve">Remote privileged access shall pass through the privileged access service, which records each session in a format that provides assessable evidence: who connected, when, to what, and the commands run or a recording of the session. (AC-17(4)(a))</w:t>
      </w:r>
    </w:p>
    <w:p>
      <w:pPr>
        <w:pStyle w:val="Compact"/>
        <w:numPr>
          <w:ilvl w:val="0"/>
          <w:numId w:val="1009"/>
        </w:numPr>
      </w:pPr>
      <w:r>
        <w:t xml:space="preserve">The</w:t>
      </w:r>
      <w:r>
        <w:t xml:space="preserve"> </w:t>
      </w:r>
      <w:r>
        <w:rPr>
          <w:rStyle w:val="Fill-in"/>
        </w:rPr>
        <w:t xml:space="preserve">[System owner]</w:t>
      </w:r>
      <w:r>
        <w:t xml:space="preserve"> </w:t>
      </w:r>
      <w:r>
        <w:t xml:space="preserve">shall document in the system security plan the rationale for each kind of remote privileged access the system allows. (AC-17(4)(b))</w:t>
      </w:r>
    </w:p>
    <w:bookmarkEnd w:id="23"/>
    <w:bookmarkStart w:id="31" w:name="external-parties-and-maintenance"/>
    <w:p>
      <w:pPr>
        <w:pStyle w:val="Heading2"/>
      </w:pPr>
      <w:r>
        <w:t xml:space="preserve">11. External parties and maintenance</w:t>
      </w:r>
    </w:p>
    <w:p>
      <w:pPr>
        <w:pStyle w:val="Compact"/>
        <w:numPr>
          <w:ilvl w:val="0"/>
          <w:numId w:val="1010"/>
        </w:numPr>
      </w:pPr>
      <w:r>
        <w:t xml:space="preserve">Contractors, partners and maintenance providers shall use the same approved methods and meet the same device and authentication requirements, or the requirements of an approved agreement that the</w:t>
      </w:r>
      <w:r>
        <w:t xml:space="preserve"> </w:t>
      </w:r>
      <w:r>
        <w:rPr>
          <w:rStyle w:val="Fill-in"/>
        </w:rPr>
        <w:t xml:space="preserve">[Chief Information Security Officer]</w:t>
      </w:r>
      <w:r>
        <w:t xml:space="preserve"> </w:t>
      </w:r>
      <w:r>
        <w:t xml:space="preserve">has accepted. (AC-17a)</w:t>
      </w:r>
    </w:p>
    <w:p>
      <w:pPr>
        <w:pStyle w:val="Compact"/>
        <w:numPr>
          <w:ilvl w:val="0"/>
          <w:numId w:val="1010"/>
        </w:numPr>
      </w:pPr>
      <w:r>
        <w:t xml:space="preserve">Nonlocal maintenance shall follow the Maintenance Policy: each session approved in advance, the provider’s account disabled outside approved sessions, and each session recorded in the</w:t>
      </w:r>
      <w:r>
        <w:t xml:space="preserve"> </w:t>
      </w:r>
      <w:hyperlink r:id="rId24">
        <w:r>
          <w:rPr>
            <w:rStyle w:val="Hyperlink"/>
          </w:rPr>
          <w:t xml:space="preserve">maintenance log</w:t>
        </w:r>
      </w:hyperlink>
      <w:r>
        <w:t xml:space="preserve"> </w:t>
      </w:r>
      <w:r>
        <w:t xml:space="preserve">(MA-4). (AC-17a)</w:t>
      </w:r>
    </w:p>
    <w:p>
      <w:pPr>
        <w:pStyle w:val="Compact"/>
        <w:numPr>
          <w:ilvl w:val="0"/>
          <w:numId w:val="1010"/>
        </w:numPr>
      </w:pPr>
      <w:r>
        <w:t xml:space="preserve">A connection from another organization’s system, rather than from individual users, is an interconnection and needs an approved</w:t>
      </w:r>
      <w:r>
        <w:t xml:space="preserve"> </w:t>
      </w:r>
      <w:hyperlink r:id="rId25">
        <w:r>
          <w:rPr>
            <w:rStyle w:val="Hyperlink"/>
          </w:rPr>
          <w:t xml:space="preserve">information exchange agreement</w:t>
        </w:r>
      </w:hyperlink>
      <w:r>
        <w:t xml:space="preserve"> </w:t>
      </w:r>
      <w:r>
        <w:t xml:space="preserve">(CA-3). (AC-17b)</w:t>
      </w:r>
    </w:p>
    <w:bookmarkStart w:id="30" w:name="federal-systems"/>
    <w:p>
      <w:pPr>
        <w:pStyle w:val="Heading3"/>
      </w:pPr>
      <w:r>
        <w:t xml:space="preserve">Federal systems</w:t>
      </w:r>
    </w:p>
    <w:p>
      <w:pPr>
        <w:pStyle w:val="FirstParagraph"/>
      </w:pPr>
      <w:r>
        <w:t xml:space="preserve">For federal agencies, SP 800-46 Rev. 2 section 3.3 states that</w:t>
      </w:r>
      <w:r>
        <w:t xml:space="preserve"> </w:t>
      </w:r>
      <w:r>
        <w:t xml:space="preserve">“Federal agencies are required to use cryptographic algorithms that are NIST-approved and contained in FIPS-validated modules.”</w:t>
      </w:r>
      <w:r>
        <w:t xml:space="preserve"> </w:t>
      </w:r>
      <w:hyperlink r:id="rId26">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w:t>
      </w:r>
      <w:r>
        <w:t xml:space="preserve"> </w:t>
      </w:r>
      <w:hyperlink r:id="rId27">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28">
        <w:r>
          <w:rPr>
            <w:rStyle w:val="Hyperlink"/>
          </w:rPr>
          <w:t xml:space="preserve">OMB M-26-18</w:t>
        </w:r>
      </w:hyperlink>
      <w:r>
        <w:t xml:space="preserve"> </w:t>
      </w:r>
      <w:r>
        <w:t xml:space="preserve">(August 31, 2026), footnote 5, lists both memoranda as existing OMB policy. CISA’s</w:t>
      </w:r>
      <w:r>
        <w:t xml:space="preserve"> </w:t>
      </w:r>
      <w:hyperlink r:id="rId29">
        <w:r>
          <w:rPr>
            <w:rStyle w:val="Hyperlink"/>
          </w:rPr>
          <w:t xml:space="preserve">Trusted Internet Connections (TIC) 3.0</w:t>
        </w:r>
      </w:hyperlink>
      <w:r>
        <w:t xml:space="preserve"> </w:t>
      </w:r>
      <w:r>
        <w:t xml:space="preserve">program implements OMB M-19-26, Update to the Trusted Internet Connections (TIC) Initiative (September 2019); its Remote User Use Case (version 2.2, September 2026) describes the architecture and security capabilities for agency users who perform sanctioned business functions outside agency premises, including on personally owned devices used under a BYOD policy. As of October 2026.</w:t>
      </w:r>
    </w:p>
    <w:p>
      <w:pPr>
        <w:pStyle w:val="Compact"/>
        <w:numPr>
          <w:ilvl w:val="0"/>
          <w:numId w:val="1011"/>
        </w:numPr>
      </w:pPr>
      <w:r>
        <w:t xml:space="preserve">Remote access sessions shall use NIST-approved cryptographic algorithms in FIPS-validated cryptographic modules. (AC-17(2))</w:t>
      </w:r>
    </w:p>
    <w:p>
      <w:pPr>
        <w:pStyle w:val="Compact"/>
        <w:numPr>
          <w:ilvl w:val="0"/>
          <w:numId w:val="1011"/>
        </w:numPr>
      </w:pPr>
      <w:r>
        <w:t xml:space="preserve">Remote access by agency staff, contractors and partners shall use phishing-resistant multi-factor authentication, as OMB M-22-09 requires, with a PIV or derived PIV credential where the person holds one, as OMB M-19-17 requires. (AC-17a)</w:t>
      </w:r>
    </w:p>
    <w:p>
      <w:pPr>
        <w:pStyle w:val="Compact"/>
        <w:numPr>
          <w:ilvl w:val="0"/>
          <w:numId w:val="1011"/>
        </w:numPr>
      </w:pPr>
      <w:r>
        <w:t xml:space="preserve">The remote access methods in section 3 shall be implemented in accordance with the agency’s TIC 3.0 architecture and the TIC 3.0 Remote User Use Case, and the system security plan shall show which TIC security capabilities each method provides or inherits. (AC-17(3))</w:t>
      </w:r>
    </w:p>
    <w:bookmarkEnd w:id="30"/>
    <w:bookmarkEnd w:id="31"/>
    <w:bookmarkStart w:id="32" w:name="exceptions"/>
    <w:p>
      <w:pPr>
        <w:pStyle w:val="Heading2"/>
      </w:pPr>
      <w:r>
        <w:t xml:space="preserve">12. Exceptions</w:t>
      </w:r>
    </w:p>
    <w:p>
      <w:pPr>
        <w:pStyle w:val="Compact"/>
        <w:numPr>
          <w:ilvl w:val="0"/>
          <w:numId w:val="1012"/>
        </w:numPr>
      </w:pPr>
      <w:r>
        <w:t xml:space="preserve">A method, device or setting that does not meet this standard shall be approved by the</w:t>
      </w:r>
      <w:r>
        <w:t xml:space="preserve"> </w:t>
      </w:r>
      <w:r>
        <w:rPr>
          <w:rStyle w:val="Fill-in"/>
        </w:rPr>
        <w:t xml:space="preserve">[Chief Information Security Officer]</w:t>
      </w:r>
      <w:r>
        <w:t xml:space="preserve"> </w:t>
      </w:r>
      <w:r>
        <w:t xml:space="preserve">as an exception, with the business need, compensating measures and an expiry date, and entered in the system’s plan of action and milestones where it is a weakness. (AC-17a)</w:t>
      </w:r>
    </w:p>
    <w:p>
      <w:pPr>
        <w:pStyle w:val="Compact"/>
        <w:numPr>
          <w:ilvl w:val="0"/>
          <w:numId w:val="1012"/>
        </w:numPr>
      </w:pPr>
      <w:r>
        <w:t xml:space="preserve">Exceptions shall be reviewed at least annually and at expiry. (AC-17a)</w:t>
      </w:r>
    </w:p>
    <w:bookmarkEnd w:id="32"/>
    <w:bookmarkStart w:id="33" w:name="review"/>
    <w:p>
      <w:pPr>
        <w:pStyle w:val="Heading2"/>
      </w:pPr>
      <w:r>
        <w:t xml:space="preserve">13. Review</w:t>
      </w:r>
    </w:p>
    <w:p>
      <w:pPr>
        <w:pStyle w:val="FirstParagraph"/>
      </w:pPr>
      <w:r>
        <w:t xml:space="preserve">The</w:t>
      </w:r>
      <w:r>
        <w:t xml:space="preserve"> </w:t>
      </w:r>
      <w:r>
        <w:rPr>
          <w:rStyle w:val="Fill-in"/>
        </w:rPr>
        <w:t xml:space="preserve">[Chief Information Security Officer]</w:t>
      </w:r>
      <w:r>
        <w:t xml:space="preserve"> </w:t>
      </w:r>
      <w:r>
        <w:t xml:space="preserve">reviews this standard</w:t>
      </w:r>
      <w:r>
        <w:t xml:space="preserve"> </w:t>
      </w:r>
      <w:r>
        <w:rPr>
          <w:rStyle w:val="Fill-in"/>
        </w:rPr>
        <w:t xml:space="preserve">[Fill in: for example annually]</w:t>
      </w:r>
      <w:r>
        <w:t xml:space="preserve">, and whenever a remote access method is added or retired, after incidents involving remote access, and when the Access Control Policy changes. SP 800-46 Rev. 2 section 5.1.2 advises reassessing periodically which device types are permitted and what access each is given, as device capabilities and threats change.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33"/>
    <w:bookmarkEnd w:id="34"/>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Remote Access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5" Target="https://kston83.github.io/nist-guide/templates/forms/information-exchange-agreement/" TargetMode="External" /><Relationship Type="http://schemas.openxmlformats.org/officeDocument/2006/relationships/hyperlink" Id="rId24" Target="https://kston83.github.io/nist-guide/templates/forms/maintenance-log/" TargetMode="External" /><Relationship Type="http://schemas.openxmlformats.org/officeDocument/2006/relationships/hyperlink" Id="rId12" Target="https://kston83.github.io/nist-guide/templates/forms/rules-of-behavior/" TargetMode="External" /><Relationship Type="http://schemas.openxmlformats.org/officeDocument/2006/relationships/hyperlink" Id="rId19" Target="https://kston83.github.io/nist-guide/templates/standards/boundary-protection-standard/" TargetMode="External" /><Relationship Type="http://schemas.openxmlformats.org/officeDocument/2006/relationships/hyperlink" Id="rId17" Target="https://kston83.github.io/nist-guide/templates/standards/encryption-and-key-management-standard/" TargetMode="External" /><Relationship Type="http://schemas.openxmlformats.org/officeDocument/2006/relationships/hyperlink" Id="rId9" Target="https://kston83.github.io/nist-guide/templates/standards/remote-access-standard/" TargetMode="External" /><Relationship Type="http://schemas.openxmlformats.org/officeDocument/2006/relationships/hyperlink" Id="rId29" Target="https://www.cisa.gov/resources-tools/programs/trusted-internet-connections-tic" TargetMode="External" /><Relationship Type="http://schemas.openxmlformats.org/officeDocument/2006/relationships/hyperlink" Id="rId27" Target="https://www.whitehouse.gov/wp-content/uploads/2019/05/M-19-17.pdf" TargetMode="External" /><Relationship Type="http://schemas.openxmlformats.org/officeDocument/2006/relationships/hyperlink" Id="rId26" Target="https://www.whitehouse.gov/wp-content/uploads/2022/01/M-22-09.pdf" TargetMode="External" /><Relationship Type="http://schemas.openxmlformats.org/officeDocument/2006/relationships/hyperlink" Id="rId28" Target="https://www.whitehouse.gov/wp-content/uploads/2026/08/M-26-18-Scaling-Use-of-Login.gov-to-Deliver-a-Universal-Sign-on-for-Public-Service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5" Target="https://kston83.github.io/nist-guide/templates/forms/information-exchange-agreement/" TargetMode="External" /><Relationship Type="http://schemas.openxmlformats.org/officeDocument/2006/relationships/hyperlink" Id="rId24" Target="https://kston83.github.io/nist-guide/templates/forms/maintenance-log/" TargetMode="External" /><Relationship Type="http://schemas.openxmlformats.org/officeDocument/2006/relationships/hyperlink" Id="rId12" Target="https://kston83.github.io/nist-guide/templates/forms/rules-of-behavior/" TargetMode="External" /><Relationship Type="http://schemas.openxmlformats.org/officeDocument/2006/relationships/hyperlink" Id="rId19" Target="https://kston83.github.io/nist-guide/templates/standards/boundary-protection-standard/" TargetMode="External" /><Relationship Type="http://schemas.openxmlformats.org/officeDocument/2006/relationships/hyperlink" Id="rId17" Target="https://kston83.github.io/nist-guide/templates/standards/encryption-and-key-management-standard/" TargetMode="External" /><Relationship Type="http://schemas.openxmlformats.org/officeDocument/2006/relationships/hyperlink" Id="rId9" Target="https://kston83.github.io/nist-guide/templates/standards/remote-access-standard/" TargetMode="External" /><Relationship Type="http://schemas.openxmlformats.org/officeDocument/2006/relationships/hyperlink" Id="rId29" Target="https://www.cisa.gov/resources-tools/programs/trusted-internet-connections-tic" TargetMode="External" /><Relationship Type="http://schemas.openxmlformats.org/officeDocument/2006/relationships/hyperlink" Id="rId27" Target="https://www.whitehouse.gov/wp-content/uploads/2019/05/M-19-17.pdf" TargetMode="External" /><Relationship Type="http://schemas.openxmlformats.org/officeDocument/2006/relationships/hyperlink" Id="rId26" Target="https://www.whitehouse.gov/wp-content/uploads/2022/01/M-22-09.pdf" TargetMode="External" /><Relationship Type="http://schemas.openxmlformats.org/officeDocument/2006/relationships/hyperlink" Id="rId28" Target="https://www.whitehouse.gov/wp-content/uploads/2026/08/M-26-18-Scaling-Use-of-Login.gov-to-Deliver-a-Universal-Sign-on-for-Public-Service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